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AA7E" w14:textId="7CB44D4C" w:rsidR="008C3AFE" w:rsidRPr="005C20E9" w:rsidRDefault="00386848" w:rsidP="2AD8D8AA">
      <w:pPr>
        <w:pStyle w:val="Heading1"/>
        <w:spacing w:before="0" w:after="120" w:line="276" w:lineRule="auto"/>
        <w:rPr>
          <w:rFonts w:ascii="Arial" w:hAnsi="Arial" w:cs="Arial"/>
          <w:color w:val="C00000"/>
        </w:rPr>
      </w:pPr>
      <w:bookmarkStart w:id="0" w:name="_Hlk521315208"/>
      <w:bookmarkStart w:id="1" w:name="_Hlk521327664"/>
      <w:bookmarkStart w:id="2" w:name="_Toc520738726"/>
      <w:r>
        <w:rPr>
          <w:rFonts w:ascii="Arial" w:hAnsi="Arial" w:cs="Arial"/>
          <w:color w:val="C00000"/>
        </w:rPr>
        <w:t>Rates, F</w:t>
      </w:r>
      <w:r w:rsidR="2AD8D8AA" w:rsidRPr="2AD8D8AA">
        <w:rPr>
          <w:rFonts w:ascii="Arial" w:hAnsi="Arial" w:cs="Arial"/>
          <w:color w:val="C00000"/>
        </w:rPr>
        <w:t xml:space="preserve">ees and </w:t>
      </w:r>
      <w:r>
        <w:rPr>
          <w:rFonts w:ascii="Arial" w:hAnsi="Arial" w:cs="Arial"/>
          <w:color w:val="C00000"/>
        </w:rPr>
        <w:t>C</w:t>
      </w:r>
      <w:r w:rsidR="2AD8D8AA" w:rsidRPr="2AD8D8AA">
        <w:rPr>
          <w:rFonts w:ascii="Arial" w:hAnsi="Arial" w:cs="Arial"/>
          <w:color w:val="C00000"/>
        </w:rPr>
        <w:t>harges</w:t>
      </w:r>
    </w:p>
    <w:bookmarkEnd w:id="0"/>
    <w:p w14:paraId="1097EDB2" w14:textId="77777777" w:rsidR="00CA362D"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Our vision is for the local government sector to be agile, smart and inclusive. </w:t>
      </w:r>
    </w:p>
    <w:p w14:paraId="2F867A7D" w14:textId="77777777" w:rsidR="00CA362D"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Our objective is to reform local government so that it is empowered to better deliver quality governance and services to their communities now and into the future.</w:t>
      </w:r>
    </w:p>
    <w:p w14:paraId="5515E96C" w14:textId="77777777" w:rsidR="00CA362D" w:rsidRPr="00B26D27" w:rsidRDefault="2AD8D8AA" w:rsidP="2AD8D8AA">
      <w:pPr>
        <w:jc w:val="both"/>
        <w:rPr>
          <w:rFonts w:ascii="Arial" w:hAnsi="Arial" w:cs="Arial"/>
          <w:sz w:val="24"/>
          <w:szCs w:val="24"/>
        </w:rPr>
      </w:pPr>
      <w:r w:rsidRPr="2AD8D8AA">
        <w:rPr>
          <w:rFonts w:ascii="Arial" w:hAnsi="Arial" w:cs="Arial"/>
          <w:sz w:val="24"/>
          <w:szCs w:val="24"/>
        </w:rPr>
        <w:t>A new Local Government Act will be drafted, Transforming Local Government.</w:t>
      </w:r>
    </w:p>
    <w:p w14:paraId="015B762C" w14:textId="5ABF5DBF" w:rsidR="0042124D"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Agile includes topics that focus specifically on how local governments can best use their resources. It is important that they are transparent and accountable to their communities, while striking a balance between community expectations and the practical limitations of revenue and expenditure.</w:t>
      </w:r>
    </w:p>
    <w:p w14:paraId="0F080014"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The topics addressed in this theme are:</w:t>
      </w:r>
    </w:p>
    <w:p w14:paraId="40F7C792" w14:textId="40B02CBA" w:rsidR="008C3AFE" w:rsidRPr="00B26D27" w:rsidRDefault="2AD8D8AA" w:rsidP="2AD8D8AA">
      <w:pPr>
        <w:pStyle w:val="ListParagraph"/>
        <w:numPr>
          <w:ilvl w:val="0"/>
          <w:numId w:val="24"/>
        </w:numPr>
        <w:spacing w:after="120" w:line="276" w:lineRule="auto"/>
        <w:jc w:val="both"/>
        <w:rPr>
          <w:rFonts w:ascii="Arial" w:hAnsi="Arial" w:cs="Arial"/>
          <w:sz w:val="24"/>
          <w:szCs w:val="24"/>
        </w:rPr>
      </w:pPr>
      <w:r w:rsidRPr="2AD8D8AA">
        <w:rPr>
          <w:rFonts w:ascii="Arial" w:hAnsi="Arial" w:cs="Arial"/>
          <w:sz w:val="24"/>
          <w:szCs w:val="24"/>
        </w:rPr>
        <w:t>Financial management;</w:t>
      </w:r>
    </w:p>
    <w:p w14:paraId="7CB010BD" w14:textId="18AC2B66" w:rsidR="008C3AFE" w:rsidRPr="00B26D27" w:rsidRDefault="2AD8D8AA" w:rsidP="2AD8D8AA">
      <w:pPr>
        <w:pStyle w:val="ListParagraph"/>
        <w:numPr>
          <w:ilvl w:val="0"/>
          <w:numId w:val="24"/>
        </w:numPr>
        <w:spacing w:after="120" w:line="276" w:lineRule="auto"/>
        <w:jc w:val="both"/>
        <w:rPr>
          <w:rFonts w:ascii="Arial" w:hAnsi="Arial" w:cs="Arial"/>
          <w:sz w:val="24"/>
          <w:szCs w:val="24"/>
        </w:rPr>
      </w:pPr>
      <w:r w:rsidRPr="2AD8D8AA">
        <w:rPr>
          <w:rFonts w:ascii="Arial" w:hAnsi="Arial" w:cs="Arial"/>
          <w:sz w:val="24"/>
          <w:szCs w:val="24"/>
        </w:rPr>
        <w:t>Rates, fees and charges; and</w:t>
      </w:r>
    </w:p>
    <w:p w14:paraId="097F27A9" w14:textId="5F75DF0E" w:rsidR="008C3AFE" w:rsidRPr="00B26D27" w:rsidRDefault="2AD8D8AA" w:rsidP="2AD8D8AA">
      <w:pPr>
        <w:pStyle w:val="ListParagraph"/>
        <w:numPr>
          <w:ilvl w:val="0"/>
          <w:numId w:val="24"/>
        </w:numPr>
        <w:spacing w:after="120" w:line="276" w:lineRule="auto"/>
        <w:jc w:val="both"/>
        <w:rPr>
          <w:rFonts w:ascii="Arial" w:hAnsi="Arial" w:cs="Arial"/>
          <w:sz w:val="24"/>
          <w:szCs w:val="24"/>
        </w:rPr>
      </w:pPr>
      <w:r w:rsidRPr="2AD8D8AA">
        <w:rPr>
          <w:rFonts w:ascii="Arial" w:hAnsi="Arial" w:cs="Arial"/>
          <w:sz w:val="24"/>
          <w:szCs w:val="24"/>
        </w:rPr>
        <w:t>Beneficial enterprises.</w:t>
      </w:r>
    </w:p>
    <w:p w14:paraId="6E2141C1" w14:textId="77777777" w:rsidR="008C3AFE" w:rsidRPr="00B26D27" w:rsidRDefault="2AD8D8AA" w:rsidP="2AD8D8AA">
      <w:pPr>
        <w:spacing w:after="120" w:line="276" w:lineRule="auto"/>
        <w:rPr>
          <w:rFonts w:ascii="Arial" w:hAnsi="Arial" w:cs="Arial"/>
          <w:b/>
          <w:bCs/>
          <w:color w:val="595959" w:themeColor="text1" w:themeTint="A6"/>
          <w:sz w:val="24"/>
          <w:szCs w:val="24"/>
        </w:rPr>
      </w:pPr>
      <w:r w:rsidRPr="2AD8D8AA">
        <w:rPr>
          <w:rFonts w:ascii="Arial" w:hAnsi="Arial" w:cs="Arial"/>
          <w:b/>
          <w:bCs/>
          <w:color w:val="595959" w:themeColor="text1" w:themeTint="A6"/>
          <w:sz w:val="24"/>
          <w:szCs w:val="24"/>
        </w:rPr>
        <w:t>Have your say!</w:t>
      </w:r>
    </w:p>
    <w:p w14:paraId="0CE46E45"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We need your input to inform how local government will work for future generations.</w:t>
      </w:r>
    </w:p>
    <w:p w14:paraId="326708EF" w14:textId="77777777" w:rsidR="008C3AFE" w:rsidRPr="00B26D27" w:rsidRDefault="2AD8D8AA" w:rsidP="2AD8D8AA">
      <w:pPr>
        <w:spacing w:after="120" w:line="276" w:lineRule="auto"/>
        <w:jc w:val="both"/>
        <w:rPr>
          <w:rFonts w:ascii="Arial" w:hAnsi="Arial" w:cs="Arial"/>
          <w:b/>
          <w:bCs/>
          <w:color w:val="595959" w:themeColor="text1" w:themeTint="A6"/>
          <w:sz w:val="24"/>
          <w:szCs w:val="24"/>
        </w:rPr>
      </w:pPr>
      <w:r w:rsidRPr="2AD8D8AA">
        <w:rPr>
          <w:rFonts w:ascii="Arial" w:hAnsi="Arial" w:cs="Arial"/>
          <w:b/>
          <w:bCs/>
          <w:color w:val="595959" w:themeColor="text1" w:themeTint="A6"/>
          <w:sz w:val="24"/>
          <w:szCs w:val="24"/>
        </w:rPr>
        <w:t>Submissions</w:t>
      </w:r>
    </w:p>
    <w:p w14:paraId="35CE97AF"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 simplest way to have your say is to answer the questions via the online surveys.  </w:t>
      </w:r>
    </w:p>
    <w:p w14:paraId="42CE1B6E" w14:textId="77777777" w:rsidR="002F3D7C"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 survey questions relate to the matters discussed in the papers and we encourage you to read the relevant paper before completing the survey. </w:t>
      </w:r>
    </w:p>
    <w:p w14:paraId="7CE1E681" w14:textId="1EF6B356"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While you may lodge multiple written submissions via email at </w:t>
      </w:r>
      <w:hyperlink r:id="rId11">
        <w:r w:rsidRPr="2AD8D8AA">
          <w:rPr>
            <w:rStyle w:val="Hyperlink"/>
            <w:rFonts w:cs="Arial"/>
          </w:rPr>
          <w:t>actreview@dlgsc.wa.gov.au</w:t>
        </w:r>
      </w:hyperlink>
      <w:r w:rsidRPr="2AD8D8AA">
        <w:rPr>
          <w:rFonts w:ascii="Arial" w:hAnsi="Arial" w:cs="Arial"/>
          <w:sz w:val="24"/>
          <w:szCs w:val="24"/>
        </w:rPr>
        <w:t>, you will only be able to complete each online topic survey once. The public submission period closes on 31 March 2019. This is the last day that you will be able to respond to the surveys.</w:t>
      </w:r>
    </w:p>
    <w:p w14:paraId="24CEDABD" w14:textId="2E771318" w:rsidR="00195047" w:rsidRPr="002F3D7C" w:rsidRDefault="2AD8D8AA" w:rsidP="2AD8D8AA">
      <w:pPr>
        <w:spacing w:after="120" w:line="276" w:lineRule="auto"/>
        <w:jc w:val="both"/>
        <w:rPr>
          <w:rFonts w:ascii="Arial" w:hAnsi="Arial" w:cs="Arial"/>
          <w:sz w:val="24"/>
          <w:szCs w:val="24"/>
        </w:rPr>
      </w:pPr>
      <w:r w:rsidRPr="2AD8D8AA">
        <w:rPr>
          <w:rFonts w:ascii="Arial" w:hAnsi="Arial" w:cs="Arial"/>
          <w:b/>
          <w:bCs/>
          <w:sz w:val="24"/>
          <w:szCs w:val="24"/>
        </w:rPr>
        <w:t>Note</w:t>
      </w:r>
      <w:r w:rsidRPr="2AD8D8AA">
        <w:rPr>
          <w:rFonts w:ascii="Arial" w:hAnsi="Arial" w:cs="Arial"/>
          <w:sz w:val="24"/>
          <w:szCs w:val="24"/>
        </w:rPr>
        <w:t>: Unless marked as confidential, your submission (including survey responses) will be made public and published in full on the Department of Local Government, Sport and Cultural Industries’ (the Department) website. Submissions that contain defamatory or offensive material will not be published.</w:t>
      </w:r>
      <w:r w:rsidR="008C3AFE" w:rsidRPr="2AD8D8AA">
        <w:rPr>
          <w:rFonts w:ascii="Arial" w:hAnsi="Arial" w:cs="Arial"/>
          <w:color w:val="C00000"/>
          <w:sz w:val="24"/>
          <w:szCs w:val="24"/>
        </w:rPr>
        <w:br w:type="page"/>
      </w:r>
      <w:bookmarkEnd w:id="1"/>
    </w:p>
    <w:p w14:paraId="2D9E1745" w14:textId="58147B66" w:rsidR="008C3AFE" w:rsidRPr="005C20E9" w:rsidRDefault="2AD8D8AA" w:rsidP="2AD8D8AA">
      <w:pPr>
        <w:pStyle w:val="Heading1"/>
        <w:spacing w:before="0" w:after="120" w:line="276" w:lineRule="auto"/>
        <w:rPr>
          <w:rFonts w:ascii="Arial" w:hAnsi="Arial" w:cs="Arial"/>
          <w:color w:val="C00000"/>
        </w:rPr>
      </w:pPr>
      <w:r w:rsidRPr="2AD8D8AA">
        <w:rPr>
          <w:rFonts w:ascii="Arial" w:hAnsi="Arial" w:cs="Arial"/>
          <w:color w:val="C00000"/>
        </w:rPr>
        <w:lastRenderedPageBreak/>
        <w:t>Introduction</w:t>
      </w:r>
      <w:bookmarkEnd w:id="2"/>
    </w:p>
    <w:p w14:paraId="24EF84F1" w14:textId="12C88B3B"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Local governments impose rates to raise revenue to fund services and facilities.</w:t>
      </w:r>
    </w:p>
    <w:p w14:paraId="13CBCC7C"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 quantum of rates payable is determined by three factors: </w:t>
      </w:r>
    </w:p>
    <w:p w14:paraId="0C70725A" w14:textId="2E4462C4" w:rsidR="008C3AFE" w:rsidRPr="00B26D27" w:rsidRDefault="2AD8D8AA" w:rsidP="2AD8D8AA">
      <w:pPr>
        <w:pStyle w:val="ListParagraph"/>
        <w:numPr>
          <w:ilvl w:val="0"/>
          <w:numId w:val="1"/>
        </w:numPr>
        <w:spacing w:after="120" w:line="276" w:lineRule="auto"/>
        <w:jc w:val="both"/>
        <w:rPr>
          <w:rFonts w:ascii="Arial" w:hAnsi="Arial" w:cs="Arial"/>
          <w:sz w:val="24"/>
          <w:szCs w:val="24"/>
        </w:rPr>
      </w:pPr>
      <w:r w:rsidRPr="2AD8D8AA">
        <w:rPr>
          <w:rFonts w:ascii="Arial" w:hAnsi="Arial" w:cs="Arial"/>
          <w:sz w:val="24"/>
          <w:szCs w:val="24"/>
        </w:rPr>
        <w:t>The method of valuation of the land</w:t>
      </w:r>
    </w:p>
    <w:p w14:paraId="50DF927D" w14:textId="1ED4CDB4" w:rsidR="008C3AFE" w:rsidRPr="00B26D27" w:rsidRDefault="2AD8D8AA" w:rsidP="2AD8D8AA">
      <w:pPr>
        <w:pStyle w:val="ListParagraph"/>
        <w:numPr>
          <w:ilvl w:val="0"/>
          <w:numId w:val="1"/>
        </w:numPr>
        <w:spacing w:after="120" w:line="276" w:lineRule="auto"/>
        <w:jc w:val="both"/>
        <w:rPr>
          <w:rFonts w:ascii="Arial" w:hAnsi="Arial" w:cs="Arial"/>
          <w:sz w:val="24"/>
          <w:szCs w:val="24"/>
        </w:rPr>
      </w:pPr>
      <w:r w:rsidRPr="2AD8D8AA">
        <w:rPr>
          <w:rFonts w:ascii="Arial" w:hAnsi="Arial" w:cs="Arial"/>
          <w:sz w:val="24"/>
          <w:szCs w:val="24"/>
        </w:rPr>
        <w:t>The valuation of the land; and</w:t>
      </w:r>
    </w:p>
    <w:p w14:paraId="2C03B8EA" w14:textId="41851930" w:rsidR="008C3AFE" w:rsidRPr="00B26D27" w:rsidRDefault="2AD8D8AA" w:rsidP="2AD8D8AA">
      <w:pPr>
        <w:pStyle w:val="ListParagraph"/>
        <w:numPr>
          <w:ilvl w:val="0"/>
          <w:numId w:val="1"/>
        </w:numPr>
        <w:spacing w:after="120" w:line="276" w:lineRule="auto"/>
        <w:jc w:val="both"/>
        <w:rPr>
          <w:rFonts w:ascii="Arial" w:hAnsi="Arial" w:cs="Arial"/>
          <w:sz w:val="24"/>
          <w:szCs w:val="24"/>
        </w:rPr>
      </w:pPr>
      <w:r w:rsidRPr="2AD8D8AA">
        <w:rPr>
          <w:rFonts w:ascii="Arial" w:hAnsi="Arial" w:cs="Arial"/>
          <w:sz w:val="24"/>
          <w:szCs w:val="24"/>
        </w:rPr>
        <w:t>The rate in the dollar applied to that valuation by the local government.</w:t>
      </w:r>
    </w:p>
    <w:p w14:paraId="25D9AF98" w14:textId="1611D1FC"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Each property in Western Australia is assigned a method of valuation which is either the unimproved value (UV) or gross rental value (GRV). The </w:t>
      </w:r>
      <w:r w:rsidRPr="2AD8D8AA">
        <w:rPr>
          <w:rFonts w:ascii="Arial" w:hAnsi="Arial" w:cs="Arial"/>
          <w:i/>
          <w:iCs/>
          <w:sz w:val="24"/>
          <w:szCs w:val="24"/>
        </w:rPr>
        <w:t>Local Government Act 1995</w:t>
      </w:r>
      <w:r w:rsidRPr="2AD8D8AA">
        <w:rPr>
          <w:rFonts w:ascii="Arial" w:hAnsi="Arial" w:cs="Arial"/>
          <w:sz w:val="24"/>
          <w:szCs w:val="24"/>
        </w:rPr>
        <w:t xml:space="preserve"> (the Act) specifies that a property used for rural purposes is rated as UV and a property used for non-rural purposes will be rated as GRV. In practical terms, land used predominately for residential purposes is generally classified as GRV.</w:t>
      </w:r>
    </w:p>
    <w:p w14:paraId="2B3211BE"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This paper looks at key aspects of local government rating and seeks to identify options where the legislation could assist in achieving the objectives of smart, agile and inclusive local government.</w:t>
      </w:r>
    </w:p>
    <w:p w14:paraId="3ADF705A" w14:textId="1082BF2B"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A review of the method of valuation of land is currently being undertaken by the Valuer General’s Office. Once this review is completed and amendments proposed, the relevant provisions in the Act will be examined, in line with any submissions received.  </w:t>
      </w:r>
    </w:p>
    <w:p w14:paraId="28E60DBB"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Local governments have to comply with specific requirements set out in the Act, including the imposition of differential general rates and minimum payments. Opportunities for potential reform of these provisions are discussed below. </w:t>
      </w:r>
    </w:p>
    <w:p w14:paraId="1CA97B07" w14:textId="77777777" w:rsidR="008C3AFE" w:rsidRPr="005C20E9" w:rsidRDefault="2AD8D8AA" w:rsidP="2AD8D8AA">
      <w:pPr>
        <w:pStyle w:val="Heading1"/>
        <w:spacing w:before="0" w:after="120" w:line="276" w:lineRule="auto"/>
        <w:rPr>
          <w:rFonts w:ascii="Arial" w:hAnsi="Arial" w:cs="Arial"/>
          <w:color w:val="C00000"/>
        </w:rPr>
      </w:pPr>
      <w:bookmarkStart w:id="3" w:name="_Toc520738727"/>
      <w:r w:rsidRPr="2AD8D8AA">
        <w:rPr>
          <w:rFonts w:ascii="Arial" w:hAnsi="Arial" w:cs="Arial"/>
          <w:color w:val="C00000"/>
        </w:rPr>
        <w:t>Rating</w:t>
      </w:r>
      <w:bookmarkEnd w:id="3"/>
    </w:p>
    <w:p w14:paraId="2CE188F2"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Rate setting is a challenging process, made difficult by fluctuating valuations because of the growth or decline of communities. </w:t>
      </w:r>
    </w:p>
    <w:p w14:paraId="634F77BD"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 Act requires that in the period from 1 June to 31 August a local government is to prepare and adopt an annual budget. As part of preparing the budget, each local government must raise enough in rates to cover the shortfall (budget deficiency) between its predetermined expenditure and available revenue.  It does this by applying a rate in the dollar to the valuation of each property.  </w:t>
      </w:r>
    </w:p>
    <w:p w14:paraId="7AB186F7"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Rates can be imposed uniformly (a single rate in the dollar) or differentially (different rates in the dollar for different categories). </w:t>
      </w:r>
    </w:p>
    <w:p w14:paraId="0793B4DC" w14:textId="3F4B1424" w:rsidR="008C3AFE" w:rsidRPr="005C20E9" w:rsidRDefault="2AD8D8AA" w:rsidP="2AD8D8AA">
      <w:pPr>
        <w:pStyle w:val="Heading1"/>
        <w:spacing w:before="0" w:after="120" w:line="276" w:lineRule="auto"/>
        <w:rPr>
          <w:rFonts w:ascii="Arial" w:hAnsi="Arial" w:cs="Arial"/>
          <w:color w:val="C00000"/>
        </w:rPr>
      </w:pPr>
      <w:bookmarkStart w:id="4" w:name="_Toc520738735"/>
      <w:bookmarkStart w:id="5" w:name="_Toc520738729"/>
      <w:r w:rsidRPr="2AD8D8AA">
        <w:rPr>
          <w:rFonts w:ascii="Arial" w:hAnsi="Arial" w:cs="Arial"/>
          <w:color w:val="C00000"/>
        </w:rPr>
        <w:t>Local government rates and revenue strategy</w:t>
      </w:r>
      <w:bookmarkEnd w:id="4"/>
    </w:p>
    <w:p w14:paraId="488E0A9A" w14:textId="633AD73D" w:rsidR="008C3AFE" w:rsidRPr="00B26D27" w:rsidRDefault="008C3AFE" w:rsidP="2AD8D8AA">
      <w:pPr>
        <w:spacing w:after="120" w:line="276" w:lineRule="auto"/>
        <w:jc w:val="both"/>
        <w:rPr>
          <w:rFonts w:ascii="Arial" w:hAnsi="Arial" w:cs="Arial"/>
          <w:sz w:val="24"/>
          <w:szCs w:val="24"/>
        </w:rPr>
      </w:pPr>
      <w:r w:rsidRPr="2AD8D8AA">
        <w:rPr>
          <w:rFonts w:ascii="Arial" w:hAnsi="Arial" w:cs="Arial"/>
          <w:sz w:val="24"/>
          <w:szCs w:val="24"/>
        </w:rPr>
        <w:t>Local governments are currently required to prepare a long-term financial plan that addresses rate increases. In Victoria it is a requirement that local governments have a Revenue and Rating Strategy</w:t>
      </w:r>
      <w:r w:rsidRPr="2AD8D8AA">
        <w:rPr>
          <w:rStyle w:val="FootnoteReference"/>
          <w:rFonts w:ascii="Arial" w:hAnsi="Arial" w:cs="Arial"/>
          <w:sz w:val="24"/>
          <w:szCs w:val="24"/>
        </w:rPr>
        <w:footnoteReference w:id="2"/>
      </w:r>
      <w:r w:rsidRPr="2AD8D8AA">
        <w:rPr>
          <w:rFonts w:ascii="Arial" w:hAnsi="Arial" w:cs="Arial"/>
          <w:sz w:val="24"/>
          <w:szCs w:val="24"/>
        </w:rPr>
        <w:t xml:space="preserve"> and in Queensland they must prepare a Revenue Statement.</w:t>
      </w:r>
    </w:p>
    <w:p w14:paraId="0C399602" w14:textId="1CC80680"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lastRenderedPageBreak/>
        <w:t>An option is to introduce the requirement for local governments in Western Australia to develop a Rates and Revenue Strategy, which could include:</w:t>
      </w:r>
    </w:p>
    <w:p w14:paraId="183C78F6" w14:textId="458DB21D" w:rsidR="008C3AFE" w:rsidRPr="00B26D27" w:rsidRDefault="2AD8D8AA" w:rsidP="2AD8D8AA">
      <w:pPr>
        <w:pStyle w:val="ListParagraph"/>
        <w:numPr>
          <w:ilvl w:val="0"/>
          <w:numId w:val="9"/>
        </w:numPr>
        <w:spacing w:after="120" w:line="276" w:lineRule="auto"/>
        <w:jc w:val="both"/>
        <w:rPr>
          <w:rFonts w:ascii="Arial" w:hAnsi="Arial" w:cs="Arial"/>
          <w:sz w:val="24"/>
          <w:szCs w:val="24"/>
        </w:rPr>
      </w:pPr>
      <w:r w:rsidRPr="2AD8D8AA">
        <w:rPr>
          <w:rFonts w:ascii="Arial" w:hAnsi="Arial" w:cs="Arial"/>
          <w:sz w:val="24"/>
          <w:szCs w:val="24"/>
        </w:rPr>
        <w:t>Rating categories (and potentially how they are determined);</w:t>
      </w:r>
    </w:p>
    <w:p w14:paraId="62F92B9D" w14:textId="6A14792E" w:rsidR="008C3AFE" w:rsidRPr="00B26D27" w:rsidRDefault="2AD8D8AA" w:rsidP="2AD8D8AA">
      <w:pPr>
        <w:pStyle w:val="ListParagraph"/>
        <w:numPr>
          <w:ilvl w:val="0"/>
          <w:numId w:val="9"/>
        </w:numPr>
        <w:spacing w:after="120" w:line="276" w:lineRule="auto"/>
        <w:jc w:val="both"/>
        <w:rPr>
          <w:rFonts w:ascii="Arial" w:hAnsi="Arial" w:cs="Arial"/>
          <w:sz w:val="24"/>
          <w:szCs w:val="24"/>
        </w:rPr>
      </w:pPr>
      <w:r w:rsidRPr="2AD8D8AA">
        <w:rPr>
          <w:rFonts w:ascii="Arial" w:hAnsi="Arial" w:cs="Arial"/>
          <w:sz w:val="24"/>
          <w:szCs w:val="24"/>
        </w:rPr>
        <w:t>Rates in the dollar;</w:t>
      </w:r>
    </w:p>
    <w:p w14:paraId="0C0B135C" w14:textId="719EB8C4" w:rsidR="008C3AFE" w:rsidRPr="00B26D27" w:rsidRDefault="2AD8D8AA" w:rsidP="2AD8D8AA">
      <w:pPr>
        <w:pStyle w:val="ListParagraph"/>
        <w:numPr>
          <w:ilvl w:val="0"/>
          <w:numId w:val="9"/>
        </w:numPr>
        <w:spacing w:after="120" w:line="276" w:lineRule="auto"/>
        <w:jc w:val="both"/>
        <w:rPr>
          <w:rFonts w:ascii="Arial" w:hAnsi="Arial" w:cs="Arial"/>
          <w:sz w:val="24"/>
          <w:szCs w:val="24"/>
        </w:rPr>
      </w:pPr>
      <w:r w:rsidRPr="2AD8D8AA">
        <w:rPr>
          <w:rFonts w:ascii="Arial" w:hAnsi="Arial" w:cs="Arial"/>
          <w:sz w:val="24"/>
          <w:szCs w:val="24"/>
        </w:rPr>
        <w:t>Objects and reasons for each rating category;</w:t>
      </w:r>
    </w:p>
    <w:p w14:paraId="1FF2646D" w14:textId="07805A51" w:rsidR="008C3AFE" w:rsidRPr="00B26D27" w:rsidRDefault="2AD8D8AA" w:rsidP="2AD8D8AA">
      <w:pPr>
        <w:pStyle w:val="ListParagraph"/>
        <w:numPr>
          <w:ilvl w:val="0"/>
          <w:numId w:val="9"/>
        </w:numPr>
        <w:spacing w:after="120" w:line="276" w:lineRule="auto"/>
        <w:jc w:val="both"/>
        <w:rPr>
          <w:rFonts w:ascii="Arial" w:hAnsi="Arial" w:cs="Arial"/>
          <w:sz w:val="24"/>
          <w:szCs w:val="24"/>
        </w:rPr>
      </w:pPr>
      <w:r w:rsidRPr="2AD8D8AA">
        <w:rPr>
          <w:rFonts w:ascii="Arial" w:hAnsi="Arial" w:cs="Arial"/>
          <w:sz w:val="24"/>
          <w:szCs w:val="24"/>
        </w:rPr>
        <w:t>Fees, charges and levies including the methodology where appropriate; and</w:t>
      </w:r>
    </w:p>
    <w:p w14:paraId="31035F53" w14:textId="72E270C8" w:rsidR="008C3AFE" w:rsidRPr="00B26D27" w:rsidRDefault="2AD8D8AA" w:rsidP="2AD8D8AA">
      <w:pPr>
        <w:pStyle w:val="ListParagraph"/>
        <w:numPr>
          <w:ilvl w:val="0"/>
          <w:numId w:val="9"/>
        </w:numPr>
        <w:spacing w:after="120" w:line="276" w:lineRule="auto"/>
        <w:jc w:val="both"/>
        <w:rPr>
          <w:rFonts w:ascii="Arial" w:hAnsi="Arial" w:cs="Arial"/>
          <w:sz w:val="24"/>
          <w:szCs w:val="24"/>
        </w:rPr>
      </w:pPr>
      <w:r w:rsidRPr="2AD8D8AA">
        <w:rPr>
          <w:rFonts w:ascii="Arial" w:hAnsi="Arial" w:cs="Arial"/>
          <w:sz w:val="24"/>
          <w:szCs w:val="24"/>
        </w:rPr>
        <w:t>Long term rating strategy.</w:t>
      </w:r>
    </w:p>
    <w:p w14:paraId="696CAFB1" w14:textId="0729C788"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 Rates and Revenue Strategy, including the schedule of fees and charges, would be prepared prior to the budget process and would be adopted by council before the budget is adopted. </w:t>
      </w:r>
    </w:p>
    <w:p w14:paraId="099D1084"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Local governments would be required to make the Strategy available on their website and it would be used as a basis for consultation on rates.  </w:t>
      </w:r>
    </w:p>
    <w:bookmarkEnd w:id="5"/>
    <w:p w14:paraId="47B8EACA" w14:textId="77777777" w:rsidR="008C3AFE" w:rsidRPr="005C20E9" w:rsidRDefault="2AD8D8AA" w:rsidP="2AD8D8AA">
      <w:pPr>
        <w:pStyle w:val="Heading1"/>
        <w:spacing w:before="0" w:after="120" w:line="276" w:lineRule="auto"/>
        <w:rPr>
          <w:rFonts w:ascii="Arial" w:hAnsi="Arial" w:cs="Arial"/>
          <w:color w:val="C00000"/>
        </w:rPr>
      </w:pPr>
      <w:r w:rsidRPr="2AD8D8AA">
        <w:rPr>
          <w:rFonts w:ascii="Arial" w:hAnsi="Arial" w:cs="Arial"/>
          <w:color w:val="C00000"/>
        </w:rPr>
        <w:t>Public notice</w:t>
      </w:r>
    </w:p>
    <w:p w14:paraId="1C1413BD"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In considering potential reforms, an overarching question is whether local governments should be required to consult on the proposed rates or simply notify their ratepayers. </w:t>
      </w:r>
    </w:p>
    <w:p w14:paraId="4945F0A8"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If a local government introduces a rating strategy that uses a uniform rate in the dollar, unlike differential general rates, there is no requirement for public notice to be given. This means that there is no opportunity for the community to provide a submission and there is no need for local governments to justify the rate in the dollar.</w:t>
      </w:r>
    </w:p>
    <w:p w14:paraId="1B2E4350" w14:textId="1F796D38"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Local governments are required to advertise their intended differential general rates prior to considering and adopting their annual budget. The local government must issue a notice that details each rate or minimum payment they intend to impose and the objects and reasons for doing so. The local government must then allow 21 days for submissions and consider each submission at a meeting of the council. Council can then choose to adopt the advertised rates or amend the rates.</w:t>
      </w:r>
    </w:p>
    <w:p w14:paraId="58D90537" w14:textId="77777777" w:rsidR="008C3AFE" w:rsidRPr="00B26D27" w:rsidRDefault="2AD8D8AA" w:rsidP="2AD8D8AA">
      <w:pPr>
        <w:pStyle w:val="Heading2"/>
        <w:spacing w:before="0" w:after="120" w:line="276" w:lineRule="auto"/>
        <w:rPr>
          <w:rFonts w:ascii="Arial" w:hAnsi="Arial" w:cs="Arial"/>
          <w:color w:val="595959" w:themeColor="text1" w:themeTint="A6"/>
          <w:sz w:val="28"/>
          <w:szCs w:val="28"/>
        </w:rPr>
      </w:pPr>
      <w:r w:rsidRPr="2AD8D8AA">
        <w:rPr>
          <w:rFonts w:ascii="Arial" w:hAnsi="Arial" w:cs="Arial"/>
          <w:color w:val="595959" w:themeColor="text1" w:themeTint="A6"/>
          <w:sz w:val="28"/>
          <w:szCs w:val="28"/>
        </w:rPr>
        <w:t>What are the options for reform?</w:t>
      </w:r>
    </w:p>
    <w:p w14:paraId="18A9EED1" w14:textId="77777777" w:rsidR="008C3AFE" w:rsidRPr="00B26D27" w:rsidRDefault="2AD8D8AA" w:rsidP="2AD8D8AA">
      <w:pPr>
        <w:spacing w:after="120" w:line="276" w:lineRule="auto"/>
        <w:rPr>
          <w:rFonts w:ascii="Arial" w:hAnsi="Arial" w:cs="Arial"/>
          <w:sz w:val="24"/>
          <w:szCs w:val="24"/>
        </w:rPr>
      </w:pPr>
      <w:r w:rsidRPr="2AD8D8AA">
        <w:rPr>
          <w:rFonts w:ascii="Arial" w:hAnsi="Arial" w:cs="Arial"/>
          <w:sz w:val="24"/>
          <w:szCs w:val="24"/>
        </w:rPr>
        <w:t>A possible reform for public notices is outlined below.</w:t>
      </w:r>
    </w:p>
    <w:tbl>
      <w:tblPr>
        <w:tblStyle w:val="TableGrid"/>
        <w:tblW w:w="9067" w:type="dxa"/>
        <w:tblLook w:val="04A0" w:firstRow="1" w:lastRow="0" w:firstColumn="1" w:lastColumn="0" w:noHBand="0" w:noVBand="1"/>
      </w:tblPr>
      <w:tblGrid>
        <w:gridCol w:w="9067"/>
      </w:tblGrid>
      <w:tr w:rsidR="004606DF" w:rsidRPr="005C20E9" w14:paraId="5451E7EC" w14:textId="77777777" w:rsidTr="2AD8D8AA">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C0311A"/>
          </w:tcPr>
          <w:p w14:paraId="68CE7B02" w14:textId="77777777" w:rsidR="004606DF" w:rsidRPr="00F037C9" w:rsidRDefault="2AD8D8AA" w:rsidP="2AD8D8AA">
            <w:pPr>
              <w:spacing w:before="0" w:after="120" w:line="276" w:lineRule="auto"/>
              <w:jc w:val="both"/>
              <w:rPr>
                <w:rFonts w:cs="Arial"/>
                <w:color w:val="FFFFFF" w:themeColor="background1"/>
              </w:rPr>
            </w:pPr>
            <w:r w:rsidRPr="2AD8D8AA">
              <w:rPr>
                <w:rFonts w:cs="Arial"/>
                <w:color w:val="FFFFFF" w:themeColor="background1"/>
              </w:rPr>
              <w:t>Public notice for all rates</w:t>
            </w:r>
          </w:p>
        </w:tc>
      </w:tr>
      <w:tr w:rsidR="004606DF" w:rsidRPr="005C20E9" w14:paraId="5D0EEF76" w14:textId="77777777" w:rsidTr="2AD8D8AA">
        <w:tc>
          <w:tcPr>
            <w:tcW w:w="9067" w:type="dxa"/>
          </w:tcPr>
          <w:p w14:paraId="2A539FF0" w14:textId="77777777" w:rsidR="004606DF" w:rsidRPr="00F037C9" w:rsidRDefault="2AD8D8AA" w:rsidP="2AD8D8AA">
            <w:pPr>
              <w:spacing w:before="0" w:after="120" w:line="276" w:lineRule="auto"/>
              <w:jc w:val="both"/>
              <w:rPr>
                <w:rFonts w:cs="Arial"/>
              </w:rPr>
            </w:pPr>
            <w:r w:rsidRPr="2AD8D8AA">
              <w:rPr>
                <w:rFonts w:cs="Arial"/>
              </w:rPr>
              <w:t>Local governments will be required to:</w:t>
            </w:r>
          </w:p>
          <w:p w14:paraId="652B711C" w14:textId="02453780" w:rsidR="004606DF" w:rsidRPr="00F037C9" w:rsidRDefault="2AD8D8AA" w:rsidP="2AD8D8AA">
            <w:pPr>
              <w:pStyle w:val="ListParagraph"/>
              <w:numPr>
                <w:ilvl w:val="0"/>
                <w:numId w:val="26"/>
              </w:numPr>
              <w:spacing w:before="0" w:after="120" w:line="276" w:lineRule="auto"/>
              <w:rPr>
                <w:rFonts w:cs="Arial"/>
              </w:rPr>
            </w:pPr>
            <w:r w:rsidRPr="2AD8D8AA">
              <w:rPr>
                <w:rFonts w:cs="Arial"/>
              </w:rPr>
              <w:t>Give public notice of all rates;</w:t>
            </w:r>
          </w:p>
          <w:p w14:paraId="4E9F1E7B" w14:textId="63DE41A8" w:rsidR="004606DF" w:rsidRPr="00F037C9" w:rsidRDefault="2AD8D8AA" w:rsidP="2AD8D8AA">
            <w:pPr>
              <w:pStyle w:val="ListParagraph"/>
              <w:numPr>
                <w:ilvl w:val="0"/>
                <w:numId w:val="26"/>
              </w:numPr>
              <w:spacing w:before="0" w:after="120" w:line="276" w:lineRule="auto"/>
              <w:rPr>
                <w:rFonts w:cs="Arial"/>
              </w:rPr>
            </w:pPr>
            <w:r w:rsidRPr="2AD8D8AA">
              <w:rPr>
                <w:rFonts w:cs="Arial"/>
              </w:rPr>
              <w:t>Prepare objects and reasons for the rating strategy;</w:t>
            </w:r>
          </w:p>
          <w:p w14:paraId="49613052" w14:textId="2BA1C0F6" w:rsidR="004606DF" w:rsidRPr="00F037C9" w:rsidRDefault="2AD8D8AA" w:rsidP="2AD8D8AA">
            <w:pPr>
              <w:pStyle w:val="ListParagraph"/>
              <w:numPr>
                <w:ilvl w:val="0"/>
                <w:numId w:val="26"/>
              </w:numPr>
              <w:spacing w:before="0" w:after="120" w:line="276" w:lineRule="auto"/>
              <w:rPr>
                <w:rFonts w:cs="Arial"/>
              </w:rPr>
            </w:pPr>
            <w:r w:rsidRPr="2AD8D8AA">
              <w:rPr>
                <w:rFonts w:cs="Arial"/>
              </w:rPr>
              <w:t>Provide 21 days for submissions; and</w:t>
            </w:r>
          </w:p>
          <w:p w14:paraId="30879940" w14:textId="1129A8DC" w:rsidR="004606DF" w:rsidRPr="00F037C9" w:rsidRDefault="2AD8D8AA" w:rsidP="2AD8D8AA">
            <w:pPr>
              <w:pStyle w:val="ListParagraph"/>
              <w:numPr>
                <w:ilvl w:val="0"/>
                <w:numId w:val="26"/>
              </w:numPr>
              <w:spacing w:before="0" w:after="120" w:line="276" w:lineRule="auto"/>
              <w:rPr>
                <w:rFonts w:cs="Arial"/>
              </w:rPr>
            </w:pPr>
            <w:r w:rsidRPr="2AD8D8AA">
              <w:rPr>
                <w:rFonts w:cs="Arial"/>
              </w:rPr>
              <w:t>Consider each submission at a meeting of council.</w:t>
            </w:r>
          </w:p>
        </w:tc>
      </w:tr>
    </w:tbl>
    <w:p w14:paraId="78558BDB" w14:textId="77777777" w:rsidR="008C3AFE" w:rsidRPr="005C20E9" w:rsidRDefault="2AD8D8AA" w:rsidP="2AD8D8AA">
      <w:pPr>
        <w:pStyle w:val="Heading1"/>
        <w:spacing w:before="0" w:after="120" w:line="276" w:lineRule="auto"/>
        <w:rPr>
          <w:rFonts w:ascii="Arial" w:hAnsi="Arial" w:cs="Arial"/>
          <w:color w:val="C00000"/>
        </w:rPr>
      </w:pPr>
      <w:bookmarkStart w:id="6" w:name="_Toc520738730"/>
      <w:r w:rsidRPr="2AD8D8AA">
        <w:rPr>
          <w:rFonts w:ascii="Arial" w:hAnsi="Arial" w:cs="Arial"/>
          <w:color w:val="C00000"/>
        </w:rPr>
        <w:lastRenderedPageBreak/>
        <w:t>Differential General Rates</w:t>
      </w:r>
      <w:bookmarkEnd w:id="6"/>
    </w:p>
    <w:p w14:paraId="04E35569" w14:textId="77777777" w:rsidR="008C3AFE" w:rsidRPr="005C20E9" w:rsidRDefault="2AD8D8AA" w:rsidP="2AD8D8AA">
      <w:pPr>
        <w:spacing w:after="120" w:line="276" w:lineRule="auto"/>
        <w:jc w:val="both"/>
        <w:rPr>
          <w:rFonts w:ascii="Arial" w:hAnsi="Arial" w:cs="Arial"/>
        </w:rPr>
      </w:pPr>
      <w:r w:rsidRPr="2AD8D8AA">
        <w:rPr>
          <w:rFonts w:ascii="Arial" w:hAnsi="Arial" w:cs="Arial"/>
          <w:sz w:val="24"/>
          <w:szCs w:val="24"/>
        </w:rPr>
        <w:t>Differential general rates are generally imposed to ensure that the rate burden is more evenly distributed across ratepayers, with those requiring or using more services being charged a higher rate in the dollar.</w:t>
      </w:r>
    </w:p>
    <w:p w14:paraId="20505292" w14:textId="77777777" w:rsidR="008C3AFE" w:rsidRPr="00B26D27" w:rsidRDefault="2AD8D8AA" w:rsidP="2AD8D8AA">
      <w:pPr>
        <w:pStyle w:val="Heading2"/>
        <w:spacing w:before="0" w:after="120" w:line="276" w:lineRule="auto"/>
        <w:jc w:val="both"/>
        <w:rPr>
          <w:rFonts w:ascii="Arial" w:hAnsi="Arial" w:cs="Arial"/>
          <w:color w:val="595959" w:themeColor="text1" w:themeTint="A6"/>
          <w:sz w:val="28"/>
          <w:szCs w:val="28"/>
        </w:rPr>
      </w:pPr>
      <w:bookmarkStart w:id="7" w:name="_Toc520738731"/>
      <w:r w:rsidRPr="2AD8D8AA">
        <w:rPr>
          <w:rFonts w:ascii="Arial" w:hAnsi="Arial" w:cs="Arial"/>
          <w:color w:val="595959" w:themeColor="text1" w:themeTint="A6"/>
          <w:sz w:val="28"/>
          <w:szCs w:val="28"/>
        </w:rPr>
        <w:t>What are the options for reform?</w:t>
      </w:r>
      <w:bookmarkEnd w:id="7"/>
    </w:p>
    <w:p w14:paraId="447C7212"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Local governments are currently permitted to impose differential general rates according to land zoning, land use (including if the land is vacant) and a combination of the two. </w:t>
      </w:r>
    </w:p>
    <w:p w14:paraId="7530FDDE"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While the categories must comply with the Act, there is still scope for a variety of rating categories which does not allow comparability across local governments.</w:t>
      </w:r>
    </w:p>
    <w:p w14:paraId="73882BFA"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In New South Wales, the legislation sets out and defines the categories for rating purposes. There are four categories of rate: Residential, Business, Farmland and Mining. The Act also provides that local governments can introduce sub-categories. </w:t>
      </w:r>
    </w:p>
    <w:p w14:paraId="4A0BF940"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Alternatively, Victoria is proposing to expand the differential rate categories to include geographic location, types of buildings on the land and any other criteria council determines is relevant. </w:t>
      </w:r>
    </w:p>
    <w:p w14:paraId="4865E796"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While increasing the ability for local governments to expand the current categories would reduce the ability for comparability between local governments, it may ensure that rates are set at a more appropriate level for groups of ratepayers. It also has the potential to lead to more inequities. </w:t>
      </w:r>
    </w:p>
    <w:p w14:paraId="08724F72"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Some local governments have requested that the differential rate categories be expanded to enable categories specific to long term vacant land, holiday houses or timeshare properties. </w:t>
      </w:r>
    </w:p>
    <w:p w14:paraId="245E75BF"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The possible options for reform are summarised below.</w:t>
      </w:r>
    </w:p>
    <w:tbl>
      <w:tblPr>
        <w:tblStyle w:val="TableGrid"/>
        <w:tblW w:w="8926" w:type="dxa"/>
        <w:tblLayout w:type="fixed"/>
        <w:tblLook w:val="04A0" w:firstRow="1" w:lastRow="0" w:firstColumn="1" w:lastColumn="0" w:noHBand="0" w:noVBand="1"/>
      </w:tblPr>
      <w:tblGrid>
        <w:gridCol w:w="4248"/>
        <w:gridCol w:w="4678"/>
      </w:tblGrid>
      <w:tr w:rsidR="0078658E" w:rsidRPr="005C20E9" w14:paraId="044B3396" w14:textId="77777777" w:rsidTr="2AD8D8AA">
        <w:trPr>
          <w:cnfStyle w:val="100000000000" w:firstRow="1" w:lastRow="0" w:firstColumn="0" w:lastColumn="0" w:oddVBand="0" w:evenVBand="0" w:oddHBand="0" w:evenHBand="0" w:firstRowFirstColumn="0" w:firstRowLastColumn="0" w:lastRowFirstColumn="0" w:lastRowLastColumn="0"/>
        </w:trPr>
        <w:tc>
          <w:tcPr>
            <w:tcW w:w="4248" w:type="dxa"/>
            <w:shd w:val="clear" w:color="auto" w:fill="C0311A"/>
          </w:tcPr>
          <w:p w14:paraId="36093BDB" w14:textId="77777777" w:rsidR="0078658E" w:rsidRPr="00F037C9" w:rsidRDefault="2AD8D8AA" w:rsidP="2AD8D8AA">
            <w:pPr>
              <w:spacing w:before="0" w:after="120" w:line="276" w:lineRule="auto"/>
              <w:jc w:val="both"/>
              <w:rPr>
                <w:rFonts w:cs="Arial"/>
                <w:color w:val="FFFFFF" w:themeColor="background1"/>
              </w:rPr>
            </w:pPr>
            <w:r w:rsidRPr="2AD8D8AA">
              <w:rPr>
                <w:rFonts w:cs="Arial"/>
                <w:color w:val="FFFFFF" w:themeColor="background1"/>
              </w:rPr>
              <w:t>NSW model</w:t>
            </w:r>
          </w:p>
        </w:tc>
        <w:tc>
          <w:tcPr>
            <w:tcW w:w="4678" w:type="dxa"/>
            <w:shd w:val="clear" w:color="auto" w:fill="C0311A"/>
          </w:tcPr>
          <w:p w14:paraId="1B4A166E" w14:textId="77777777" w:rsidR="0078658E" w:rsidRPr="00F037C9" w:rsidRDefault="2AD8D8AA" w:rsidP="2AD8D8AA">
            <w:pPr>
              <w:spacing w:before="0" w:after="120" w:line="276" w:lineRule="auto"/>
              <w:jc w:val="both"/>
              <w:rPr>
                <w:rFonts w:cs="Arial"/>
                <w:color w:val="FFFFFF" w:themeColor="background1"/>
              </w:rPr>
            </w:pPr>
            <w:r w:rsidRPr="2AD8D8AA">
              <w:rPr>
                <w:rFonts w:cs="Arial"/>
                <w:color w:val="FFFFFF" w:themeColor="background1"/>
              </w:rPr>
              <w:t>Proposed Vic model</w:t>
            </w:r>
          </w:p>
        </w:tc>
      </w:tr>
      <w:tr w:rsidR="0078658E" w:rsidRPr="005C20E9" w14:paraId="66817364" w14:textId="77777777" w:rsidTr="2AD8D8AA">
        <w:tc>
          <w:tcPr>
            <w:tcW w:w="4248" w:type="dxa"/>
          </w:tcPr>
          <w:p w14:paraId="1E84D4D9" w14:textId="37D91A0C" w:rsidR="0078658E" w:rsidRPr="00F037C9" w:rsidRDefault="2AD8D8AA" w:rsidP="2AD8D8AA">
            <w:pPr>
              <w:spacing w:before="0" w:after="120" w:line="276" w:lineRule="auto"/>
              <w:ind w:left="0"/>
              <w:rPr>
                <w:rFonts w:cs="Arial"/>
              </w:rPr>
            </w:pPr>
            <w:r w:rsidRPr="2AD8D8AA">
              <w:rPr>
                <w:rFonts w:cs="Arial"/>
              </w:rPr>
              <w:t>Under this option, differential rate categories would be set in legislation.</w:t>
            </w:r>
          </w:p>
        </w:tc>
        <w:tc>
          <w:tcPr>
            <w:tcW w:w="4678" w:type="dxa"/>
          </w:tcPr>
          <w:p w14:paraId="68E64F6A" w14:textId="700B5B97" w:rsidR="0078658E" w:rsidRPr="00F037C9" w:rsidRDefault="2AD8D8AA" w:rsidP="2AD8D8AA">
            <w:pPr>
              <w:spacing w:before="0" w:after="120" w:line="276" w:lineRule="auto"/>
              <w:ind w:left="0"/>
              <w:rPr>
                <w:rFonts w:cs="Arial"/>
              </w:rPr>
            </w:pPr>
            <w:r w:rsidRPr="2AD8D8AA">
              <w:rPr>
                <w:rFonts w:cs="Arial"/>
              </w:rPr>
              <w:t xml:space="preserve">Under this option, local governments could increase the types of differential rate categories. </w:t>
            </w:r>
          </w:p>
        </w:tc>
      </w:tr>
      <w:tr w:rsidR="0078658E" w:rsidRPr="005C20E9" w14:paraId="71A96368" w14:textId="77777777" w:rsidTr="2AD8D8AA">
        <w:tc>
          <w:tcPr>
            <w:tcW w:w="4248" w:type="dxa"/>
          </w:tcPr>
          <w:p w14:paraId="73EB04D8" w14:textId="77777777" w:rsidR="0078658E" w:rsidRPr="00F037C9" w:rsidRDefault="2AD8D8AA" w:rsidP="2AD8D8AA">
            <w:pPr>
              <w:spacing w:before="0" w:after="120" w:line="276" w:lineRule="auto"/>
              <w:ind w:left="0"/>
              <w:rPr>
                <w:rFonts w:cs="Arial"/>
              </w:rPr>
            </w:pPr>
            <w:r w:rsidRPr="2AD8D8AA">
              <w:rPr>
                <w:rFonts w:cs="Arial"/>
              </w:rPr>
              <w:t>Local governments would have to categorise properties into set categories, for example:</w:t>
            </w:r>
          </w:p>
          <w:p w14:paraId="1A25DB4A" w14:textId="21C8447C" w:rsidR="0078658E" w:rsidRPr="00F037C9" w:rsidRDefault="2AD8D8AA" w:rsidP="2AD8D8AA">
            <w:pPr>
              <w:pStyle w:val="ListParagraph"/>
              <w:numPr>
                <w:ilvl w:val="0"/>
                <w:numId w:val="29"/>
              </w:numPr>
              <w:spacing w:before="0" w:after="120" w:line="276" w:lineRule="auto"/>
              <w:rPr>
                <w:rFonts w:cs="Arial"/>
              </w:rPr>
            </w:pPr>
            <w:r w:rsidRPr="2AD8D8AA">
              <w:rPr>
                <w:rFonts w:cs="Arial"/>
              </w:rPr>
              <w:t>Residential</w:t>
            </w:r>
          </w:p>
          <w:p w14:paraId="395A736F" w14:textId="4FB7AC5C" w:rsidR="0078658E" w:rsidRPr="00F037C9" w:rsidRDefault="2AD8D8AA" w:rsidP="2AD8D8AA">
            <w:pPr>
              <w:pStyle w:val="ListParagraph"/>
              <w:numPr>
                <w:ilvl w:val="0"/>
                <w:numId w:val="28"/>
              </w:numPr>
              <w:spacing w:before="0" w:after="120" w:line="276" w:lineRule="auto"/>
              <w:rPr>
                <w:rFonts w:cs="Arial"/>
              </w:rPr>
            </w:pPr>
            <w:r w:rsidRPr="2AD8D8AA">
              <w:rPr>
                <w:rFonts w:cs="Arial"/>
              </w:rPr>
              <w:t>Semi-rural</w:t>
            </w:r>
          </w:p>
          <w:p w14:paraId="5E0B4316" w14:textId="7A9EAB4A" w:rsidR="0078658E" w:rsidRPr="00F037C9" w:rsidRDefault="2AD8D8AA" w:rsidP="2AD8D8AA">
            <w:pPr>
              <w:pStyle w:val="ListParagraph"/>
              <w:numPr>
                <w:ilvl w:val="0"/>
                <w:numId w:val="28"/>
              </w:numPr>
              <w:spacing w:before="0" w:after="120" w:line="276" w:lineRule="auto"/>
              <w:rPr>
                <w:rFonts w:cs="Arial"/>
              </w:rPr>
            </w:pPr>
            <w:r w:rsidRPr="2AD8D8AA">
              <w:rPr>
                <w:rFonts w:cs="Arial"/>
              </w:rPr>
              <w:t>Commercial/industrial</w:t>
            </w:r>
          </w:p>
          <w:p w14:paraId="7119940E" w14:textId="251A6240" w:rsidR="0078658E" w:rsidRPr="00F037C9" w:rsidRDefault="2AD8D8AA" w:rsidP="2AD8D8AA">
            <w:pPr>
              <w:pStyle w:val="ListParagraph"/>
              <w:numPr>
                <w:ilvl w:val="0"/>
                <w:numId w:val="28"/>
              </w:numPr>
              <w:spacing w:before="0" w:after="120" w:line="276" w:lineRule="auto"/>
              <w:rPr>
                <w:rFonts w:cs="Arial"/>
              </w:rPr>
            </w:pPr>
            <w:r w:rsidRPr="2AD8D8AA">
              <w:rPr>
                <w:rFonts w:cs="Arial"/>
              </w:rPr>
              <w:t xml:space="preserve">Farmland </w:t>
            </w:r>
          </w:p>
          <w:p w14:paraId="7D51E0F5" w14:textId="758773E6" w:rsidR="0078658E" w:rsidRPr="00F037C9" w:rsidRDefault="2AD8D8AA" w:rsidP="2AD8D8AA">
            <w:pPr>
              <w:pStyle w:val="ListParagraph"/>
              <w:numPr>
                <w:ilvl w:val="0"/>
                <w:numId w:val="28"/>
              </w:numPr>
              <w:spacing w:before="0" w:after="120" w:line="276" w:lineRule="auto"/>
              <w:rPr>
                <w:rFonts w:cs="Arial"/>
              </w:rPr>
            </w:pPr>
            <w:r w:rsidRPr="2AD8D8AA">
              <w:rPr>
                <w:rFonts w:cs="Arial"/>
              </w:rPr>
              <w:t>Mining</w:t>
            </w:r>
          </w:p>
          <w:p w14:paraId="49300B38" w14:textId="0CD8B139" w:rsidR="0078658E" w:rsidRPr="00F037C9" w:rsidRDefault="2AD8D8AA" w:rsidP="2AD8D8AA">
            <w:pPr>
              <w:pStyle w:val="ListParagraph"/>
              <w:numPr>
                <w:ilvl w:val="0"/>
                <w:numId w:val="28"/>
              </w:numPr>
              <w:spacing w:before="0" w:after="120" w:line="276" w:lineRule="auto"/>
              <w:rPr>
                <w:rFonts w:cs="Arial"/>
              </w:rPr>
            </w:pPr>
            <w:r w:rsidRPr="2AD8D8AA">
              <w:rPr>
                <w:rFonts w:cs="Arial"/>
              </w:rPr>
              <w:t>Exploration and prospecting</w:t>
            </w:r>
          </w:p>
        </w:tc>
        <w:tc>
          <w:tcPr>
            <w:tcW w:w="4678" w:type="dxa"/>
          </w:tcPr>
          <w:p w14:paraId="532B32B1" w14:textId="77777777" w:rsidR="0078658E" w:rsidRPr="00F037C9" w:rsidRDefault="2AD8D8AA" w:rsidP="2AD8D8AA">
            <w:pPr>
              <w:spacing w:before="0" w:after="120" w:line="276" w:lineRule="auto"/>
              <w:ind w:left="0"/>
              <w:rPr>
                <w:rFonts w:cs="Arial"/>
              </w:rPr>
            </w:pPr>
            <w:r w:rsidRPr="2AD8D8AA">
              <w:rPr>
                <w:rFonts w:cs="Arial"/>
              </w:rPr>
              <w:t>In addition to land zoning or land use (including if the land is vacant), local governments could set categories based on:</w:t>
            </w:r>
          </w:p>
          <w:p w14:paraId="3B4497DA" w14:textId="1BE8B4AA" w:rsidR="0078658E" w:rsidRPr="00F037C9" w:rsidRDefault="2AD8D8AA" w:rsidP="2AD8D8AA">
            <w:pPr>
              <w:pStyle w:val="ListParagraph"/>
              <w:numPr>
                <w:ilvl w:val="0"/>
                <w:numId w:val="30"/>
              </w:numPr>
              <w:spacing w:before="0" w:after="120" w:line="276" w:lineRule="auto"/>
              <w:rPr>
                <w:rFonts w:cs="Arial"/>
              </w:rPr>
            </w:pPr>
            <w:r w:rsidRPr="2AD8D8AA">
              <w:rPr>
                <w:rFonts w:cs="Arial"/>
              </w:rPr>
              <w:t>Geographic location</w:t>
            </w:r>
          </w:p>
          <w:p w14:paraId="51826115" w14:textId="279A0248" w:rsidR="0078658E" w:rsidRPr="00F037C9" w:rsidRDefault="2AD8D8AA" w:rsidP="2AD8D8AA">
            <w:pPr>
              <w:pStyle w:val="ListParagraph"/>
              <w:numPr>
                <w:ilvl w:val="0"/>
                <w:numId w:val="27"/>
              </w:numPr>
              <w:spacing w:before="0" w:after="120" w:line="276" w:lineRule="auto"/>
              <w:rPr>
                <w:rFonts w:cs="Arial"/>
              </w:rPr>
            </w:pPr>
            <w:r w:rsidRPr="2AD8D8AA">
              <w:rPr>
                <w:rFonts w:cs="Arial"/>
              </w:rPr>
              <w:t xml:space="preserve">Types of buildings on the land, and </w:t>
            </w:r>
          </w:p>
          <w:p w14:paraId="11D34922" w14:textId="3E1BF3A9" w:rsidR="0078658E" w:rsidRPr="00F037C9" w:rsidRDefault="2AD8D8AA" w:rsidP="2AD8D8AA">
            <w:pPr>
              <w:pStyle w:val="ListParagraph"/>
              <w:numPr>
                <w:ilvl w:val="0"/>
                <w:numId w:val="27"/>
              </w:numPr>
              <w:spacing w:before="0" w:after="120" w:line="276" w:lineRule="auto"/>
              <w:rPr>
                <w:rFonts w:cs="Arial"/>
              </w:rPr>
            </w:pPr>
            <w:r w:rsidRPr="2AD8D8AA">
              <w:rPr>
                <w:rFonts w:cs="Arial"/>
              </w:rPr>
              <w:t xml:space="preserve">Any other criteria council determines is relevant. </w:t>
            </w:r>
          </w:p>
        </w:tc>
      </w:tr>
    </w:tbl>
    <w:p w14:paraId="735DE8C1" w14:textId="77777777" w:rsidR="008C3AFE" w:rsidRPr="005C20E9" w:rsidRDefault="2AD8D8AA" w:rsidP="2AD8D8AA">
      <w:pPr>
        <w:pStyle w:val="Heading1"/>
        <w:spacing w:before="0" w:after="120" w:line="276" w:lineRule="auto"/>
        <w:rPr>
          <w:rFonts w:ascii="Arial" w:hAnsi="Arial" w:cs="Arial"/>
          <w:color w:val="C00000"/>
        </w:rPr>
      </w:pPr>
      <w:bookmarkStart w:id="8" w:name="_Toc520738732"/>
      <w:r w:rsidRPr="2AD8D8AA">
        <w:rPr>
          <w:rFonts w:ascii="Arial" w:hAnsi="Arial" w:cs="Arial"/>
          <w:color w:val="C00000"/>
        </w:rPr>
        <w:lastRenderedPageBreak/>
        <w:t>Ministerial approval</w:t>
      </w:r>
      <w:bookmarkEnd w:id="8"/>
    </w:p>
    <w:p w14:paraId="74B72DCB"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Local governments have the autonomy in the way they set rates in the dollar to make up the budget deficiency with some limitations.</w:t>
      </w:r>
    </w:p>
    <w:p w14:paraId="3264C45A" w14:textId="35273536"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A local government that seeks to impose a rate in the dollar that is more than twice the lowest must seek Ministerial approval. For example, in the UV category, the rate in the dollar for mining might be 30 cents whereas pastoral might be 10 cents. Local governments need to comply with the Rating Policy – Differential Rates when making an application. </w:t>
      </w:r>
    </w:p>
    <w:p w14:paraId="5ECD710F"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The application process adds an administrative burden not only for the local government but also the Department which assesses all applications.</w:t>
      </w:r>
    </w:p>
    <w:p w14:paraId="0A77276A"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While Western Australia appears to be the only jurisdiction that provides for Ministerial approval in relation to approving differential rates more than twice the lowest, it is also a jurisdiction that does not currently have rate capping or an equivalent. It could be argued that this is because there is oversight provided by the State Government.</w:t>
      </w:r>
    </w:p>
    <w:p w14:paraId="182FD49E" w14:textId="77777777" w:rsidR="008C3AFE" w:rsidRPr="00B26D27" w:rsidRDefault="2AD8D8AA" w:rsidP="2AD8D8AA">
      <w:pPr>
        <w:pStyle w:val="Heading2"/>
        <w:spacing w:before="0" w:after="120" w:line="276" w:lineRule="auto"/>
        <w:jc w:val="both"/>
        <w:rPr>
          <w:rFonts w:ascii="Arial" w:hAnsi="Arial" w:cs="Arial"/>
          <w:color w:val="595959" w:themeColor="text1" w:themeTint="A6"/>
          <w:sz w:val="28"/>
          <w:szCs w:val="28"/>
        </w:rPr>
      </w:pPr>
      <w:bookmarkStart w:id="9" w:name="_Toc520738733"/>
      <w:r w:rsidRPr="2AD8D8AA">
        <w:rPr>
          <w:rFonts w:ascii="Arial" w:hAnsi="Arial" w:cs="Arial"/>
          <w:color w:val="595959" w:themeColor="text1" w:themeTint="A6"/>
          <w:sz w:val="28"/>
          <w:szCs w:val="28"/>
        </w:rPr>
        <w:t>What are the options for reform?</w:t>
      </w:r>
      <w:bookmarkEnd w:id="9"/>
    </w:p>
    <w:p w14:paraId="7DFC7355"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There are several opportunities to reform the controls that are currently in place on differential rating.  </w:t>
      </w:r>
    </w:p>
    <w:p w14:paraId="58E17E16"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One option is to increase the differential from two times the lowest to three or four times the difference before Ministerial approval is required. This would reduce the regulatory burden on both local governments and the department. It would also provide an element of oversight to ensure that local governments are not imposing significant differences. </w:t>
      </w:r>
    </w:p>
    <w:p w14:paraId="5DAEF5B8" w14:textId="348B8B9E"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Alternatively, the difference could be set to a maximum of four times with no ability to seek Ministerial approval. This is consistent with Victoria. This may introduce greater fairness between categories, especially for the mining sector which is levied a significantly higher rate in the dollar than other categories by some local governments.</w:t>
      </w:r>
    </w:p>
    <w:p w14:paraId="687803EA" w14:textId="71BAF7F3" w:rsidR="003B4473"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The mining sector argues that it is treated differently from other industries and carries a heavier rate burden without being provided with a strong rationale by local governments. The mining sector is of the view that greater oversight is required to ensure that rates are applied fairly across all industry sectors.</w:t>
      </w:r>
    </w:p>
    <w:p w14:paraId="1C158AFB"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The possible options for reform are summarised below.</w:t>
      </w:r>
    </w:p>
    <w:tbl>
      <w:tblPr>
        <w:tblStyle w:val="TableGrid"/>
        <w:tblW w:w="0" w:type="auto"/>
        <w:tblLook w:val="04A0" w:firstRow="1" w:lastRow="0" w:firstColumn="1" w:lastColumn="0" w:noHBand="0" w:noVBand="1"/>
      </w:tblPr>
      <w:tblGrid>
        <w:gridCol w:w="1838"/>
        <w:gridCol w:w="3827"/>
        <w:gridCol w:w="3351"/>
      </w:tblGrid>
      <w:tr w:rsidR="0074739B" w:rsidRPr="005C20E9" w14:paraId="41FD404F" w14:textId="77777777" w:rsidTr="2AD8D8AA">
        <w:trPr>
          <w:cnfStyle w:val="100000000000" w:firstRow="1" w:lastRow="0" w:firstColumn="0" w:lastColumn="0" w:oddVBand="0" w:evenVBand="0" w:oddHBand="0" w:evenHBand="0" w:firstRowFirstColumn="0" w:firstRowLastColumn="0" w:lastRowFirstColumn="0" w:lastRowLastColumn="0"/>
        </w:trPr>
        <w:tc>
          <w:tcPr>
            <w:tcW w:w="1838" w:type="dxa"/>
            <w:shd w:val="clear" w:color="auto" w:fill="C0311A"/>
          </w:tcPr>
          <w:p w14:paraId="018191AF" w14:textId="77777777" w:rsidR="008C3AFE" w:rsidRPr="00F037C9" w:rsidRDefault="008C3AFE" w:rsidP="00474C3F">
            <w:pPr>
              <w:spacing w:before="0" w:after="120" w:line="276" w:lineRule="auto"/>
              <w:jc w:val="both"/>
              <w:rPr>
                <w:rFonts w:cs="Arial"/>
                <w:color w:val="FFFFFF" w:themeColor="background1"/>
                <w:szCs w:val="24"/>
              </w:rPr>
            </w:pPr>
          </w:p>
        </w:tc>
        <w:tc>
          <w:tcPr>
            <w:tcW w:w="3827" w:type="dxa"/>
            <w:shd w:val="clear" w:color="auto" w:fill="C0311A"/>
          </w:tcPr>
          <w:p w14:paraId="62BE9986" w14:textId="77777777" w:rsidR="008C3AFE" w:rsidRPr="00F037C9" w:rsidRDefault="2AD8D8AA" w:rsidP="2AD8D8AA">
            <w:pPr>
              <w:spacing w:before="0" w:after="120" w:line="276" w:lineRule="auto"/>
              <w:ind w:left="0"/>
              <w:jc w:val="both"/>
              <w:rPr>
                <w:rFonts w:cs="Arial"/>
                <w:color w:val="FFFFFF" w:themeColor="background1"/>
              </w:rPr>
            </w:pPr>
            <w:r w:rsidRPr="2AD8D8AA">
              <w:rPr>
                <w:rFonts w:cs="Arial"/>
                <w:color w:val="FFFFFF" w:themeColor="background1"/>
              </w:rPr>
              <w:t>Increased differential</w:t>
            </w:r>
          </w:p>
        </w:tc>
        <w:tc>
          <w:tcPr>
            <w:tcW w:w="3351" w:type="dxa"/>
            <w:shd w:val="clear" w:color="auto" w:fill="C0311A"/>
          </w:tcPr>
          <w:p w14:paraId="4514974D" w14:textId="77777777" w:rsidR="008C3AFE" w:rsidRPr="00F037C9" w:rsidRDefault="2AD8D8AA" w:rsidP="2AD8D8AA">
            <w:pPr>
              <w:spacing w:before="0" w:after="120" w:line="276" w:lineRule="auto"/>
              <w:ind w:left="0"/>
              <w:jc w:val="both"/>
              <w:rPr>
                <w:rFonts w:cs="Arial"/>
                <w:color w:val="FFFFFF" w:themeColor="background1"/>
              </w:rPr>
            </w:pPr>
            <w:r w:rsidRPr="2AD8D8AA">
              <w:rPr>
                <w:rFonts w:cs="Arial"/>
                <w:color w:val="FFFFFF" w:themeColor="background1"/>
              </w:rPr>
              <w:t>No Ministerial approval</w:t>
            </w:r>
          </w:p>
        </w:tc>
      </w:tr>
      <w:tr w:rsidR="008C3AFE" w:rsidRPr="005C20E9" w14:paraId="2AEB19E4" w14:textId="77777777" w:rsidTr="2AD8D8AA">
        <w:tc>
          <w:tcPr>
            <w:tcW w:w="1838" w:type="dxa"/>
          </w:tcPr>
          <w:p w14:paraId="2B9900A6" w14:textId="495EDF0A" w:rsidR="008C3AFE" w:rsidRPr="00F037C9" w:rsidRDefault="2AD8D8AA" w:rsidP="2AD8D8AA">
            <w:pPr>
              <w:spacing w:before="0" w:after="120" w:line="276" w:lineRule="auto"/>
              <w:ind w:left="0"/>
              <w:jc w:val="both"/>
              <w:rPr>
                <w:rFonts w:cs="Arial"/>
              </w:rPr>
            </w:pPr>
            <w:r w:rsidRPr="2AD8D8AA">
              <w:rPr>
                <w:rFonts w:cs="Arial"/>
              </w:rPr>
              <w:t>Options</w:t>
            </w:r>
          </w:p>
        </w:tc>
        <w:tc>
          <w:tcPr>
            <w:tcW w:w="3827" w:type="dxa"/>
          </w:tcPr>
          <w:p w14:paraId="27BAB400" w14:textId="77777777" w:rsidR="008C3AFE" w:rsidRPr="00F037C9" w:rsidRDefault="2AD8D8AA" w:rsidP="2AD8D8AA">
            <w:pPr>
              <w:spacing w:before="0" w:after="120" w:line="276" w:lineRule="auto"/>
              <w:ind w:left="0"/>
              <w:rPr>
                <w:rFonts w:cs="Arial"/>
              </w:rPr>
            </w:pPr>
            <w:r w:rsidRPr="2AD8D8AA">
              <w:rPr>
                <w:rFonts w:cs="Arial"/>
              </w:rPr>
              <w:t>The differential could be increased to three or four times the lowest before Ministerial approval is requirement.</w:t>
            </w:r>
          </w:p>
        </w:tc>
        <w:tc>
          <w:tcPr>
            <w:tcW w:w="3351" w:type="dxa"/>
          </w:tcPr>
          <w:p w14:paraId="409839B8" w14:textId="77777777" w:rsidR="008C3AFE" w:rsidRPr="00F037C9" w:rsidRDefault="2AD8D8AA" w:rsidP="2AD8D8AA">
            <w:pPr>
              <w:spacing w:before="0" w:after="120" w:line="276" w:lineRule="auto"/>
              <w:ind w:left="0"/>
              <w:rPr>
                <w:rFonts w:cs="Arial"/>
              </w:rPr>
            </w:pPr>
            <w:r w:rsidRPr="2AD8D8AA">
              <w:rPr>
                <w:rFonts w:cs="Arial"/>
              </w:rPr>
              <w:t>The differential could be set to a maximum of four times with no ability to seek Ministerial approval.</w:t>
            </w:r>
          </w:p>
        </w:tc>
      </w:tr>
      <w:tr w:rsidR="008C3AFE" w:rsidRPr="005C20E9" w14:paraId="08E0B932" w14:textId="77777777" w:rsidTr="2AD8D8AA">
        <w:tc>
          <w:tcPr>
            <w:tcW w:w="1838" w:type="dxa"/>
          </w:tcPr>
          <w:p w14:paraId="184D15B3" w14:textId="06758957" w:rsidR="008C3AFE" w:rsidRPr="00F037C9" w:rsidRDefault="2AD8D8AA" w:rsidP="2AD8D8AA">
            <w:pPr>
              <w:spacing w:before="0" w:after="120" w:line="276" w:lineRule="auto"/>
              <w:ind w:left="0"/>
              <w:jc w:val="both"/>
              <w:rPr>
                <w:rFonts w:cs="Arial"/>
              </w:rPr>
            </w:pPr>
            <w:r w:rsidRPr="2AD8D8AA">
              <w:rPr>
                <w:rFonts w:cs="Arial"/>
              </w:rPr>
              <w:t>Benefits</w:t>
            </w:r>
          </w:p>
        </w:tc>
        <w:tc>
          <w:tcPr>
            <w:tcW w:w="3827" w:type="dxa"/>
          </w:tcPr>
          <w:p w14:paraId="60462DA5" w14:textId="77777777" w:rsidR="008C3AFE" w:rsidRPr="00F037C9" w:rsidRDefault="2AD8D8AA" w:rsidP="2AD8D8AA">
            <w:pPr>
              <w:spacing w:before="0" w:after="120" w:line="276" w:lineRule="auto"/>
              <w:ind w:left="0"/>
              <w:rPr>
                <w:rFonts w:cs="Arial"/>
              </w:rPr>
            </w:pPr>
            <w:r w:rsidRPr="2AD8D8AA">
              <w:rPr>
                <w:rFonts w:cs="Arial"/>
              </w:rPr>
              <w:t xml:space="preserve">It reduces regulatory burden on local governments and the </w:t>
            </w:r>
            <w:r w:rsidRPr="2AD8D8AA">
              <w:rPr>
                <w:rFonts w:cs="Arial"/>
              </w:rPr>
              <w:lastRenderedPageBreak/>
              <w:t>department while maintaining some oversight.</w:t>
            </w:r>
          </w:p>
        </w:tc>
        <w:tc>
          <w:tcPr>
            <w:tcW w:w="3351" w:type="dxa"/>
          </w:tcPr>
          <w:p w14:paraId="7F5206ED" w14:textId="77777777" w:rsidR="008C3AFE" w:rsidRPr="00F037C9" w:rsidRDefault="2AD8D8AA" w:rsidP="2AD8D8AA">
            <w:pPr>
              <w:spacing w:before="0" w:after="120" w:line="276" w:lineRule="auto"/>
              <w:ind w:left="0"/>
              <w:rPr>
                <w:rFonts w:cs="Arial"/>
              </w:rPr>
            </w:pPr>
            <w:r w:rsidRPr="2AD8D8AA">
              <w:rPr>
                <w:rFonts w:cs="Arial"/>
              </w:rPr>
              <w:lastRenderedPageBreak/>
              <w:t xml:space="preserve">It increases fairness between rating categories, </w:t>
            </w:r>
            <w:r w:rsidRPr="2AD8D8AA">
              <w:rPr>
                <w:rFonts w:cs="Arial"/>
              </w:rPr>
              <w:lastRenderedPageBreak/>
              <w:t>especially for the mining sector.  It provides greater certainty for local governments.</w:t>
            </w:r>
          </w:p>
        </w:tc>
      </w:tr>
    </w:tbl>
    <w:p w14:paraId="302D79D3" w14:textId="77777777" w:rsidR="008C3AFE" w:rsidRPr="005C20E9" w:rsidRDefault="008C3AFE" w:rsidP="008C3AFE">
      <w:pPr>
        <w:spacing w:after="120" w:line="276" w:lineRule="auto"/>
        <w:jc w:val="both"/>
        <w:rPr>
          <w:rFonts w:ascii="Arial" w:hAnsi="Arial" w:cs="Arial"/>
        </w:rPr>
      </w:pPr>
    </w:p>
    <w:p w14:paraId="186BF19F" w14:textId="77777777" w:rsidR="008C3AFE" w:rsidRPr="005C20E9" w:rsidRDefault="2AD8D8AA" w:rsidP="2AD8D8AA">
      <w:pPr>
        <w:pStyle w:val="Heading1"/>
        <w:spacing w:before="0" w:after="120" w:line="276" w:lineRule="auto"/>
        <w:rPr>
          <w:rFonts w:ascii="Arial" w:hAnsi="Arial" w:cs="Arial"/>
          <w:color w:val="C00000"/>
        </w:rPr>
      </w:pPr>
      <w:bookmarkStart w:id="10" w:name="_Toc520738734"/>
      <w:r w:rsidRPr="2AD8D8AA">
        <w:rPr>
          <w:rFonts w:ascii="Arial" w:hAnsi="Arial" w:cs="Arial"/>
          <w:color w:val="C00000"/>
        </w:rPr>
        <w:t>Minimum payments and maximum rates</w:t>
      </w:r>
      <w:bookmarkEnd w:id="10"/>
    </w:p>
    <w:p w14:paraId="0021301D" w14:textId="4E3D0AC6"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A minimum payment can be imposed by a local government irrespective of what the rate assessment would be if the rate is applied to the property valuation. The purpose of a minimum payment is generally to ensure that every ratepayer makes a reasonable contribution to the rate burden.</w:t>
      </w:r>
    </w:p>
    <w:p w14:paraId="143F89BA" w14:textId="77777777"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While the Act allows local governments to impose a minimum payment that is greater than the general rate would otherwise be, there are regulatory limits that apply. Unless the general minimum is $200 or less, a minimum payment cannot be imposed on more than 50 per cent of properties in any category. Local governments can apply to the Minister for a minimum payment that does not comply with these limitations, but only for a minimum payment that applies to a differential rate on vacant land. </w:t>
      </w:r>
    </w:p>
    <w:p w14:paraId="7D527903" w14:textId="77777777" w:rsidR="008C3AFE" w:rsidRPr="005C20E9" w:rsidRDefault="2AD8D8AA" w:rsidP="2AD8D8AA">
      <w:pPr>
        <w:pStyle w:val="Heading1"/>
        <w:spacing w:after="120" w:line="276" w:lineRule="auto"/>
        <w:rPr>
          <w:rFonts w:ascii="Arial" w:hAnsi="Arial" w:cs="Arial"/>
          <w:color w:val="C00000"/>
        </w:rPr>
      </w:pPr>
      <w:bookmarkStart w:id="11" w:name="_Toc520738736"/>
      <w:r w:rsidRPr="2AD8D8AA">
        <w:rPr>
          <w:rFonts w:ascii="Arial" w:hAnsi="Arial" w:cs="Arial"/>
          <w:color w:val="C00000"/>
        </w:rPr>
        <w:t>Rating of Mining Licences</w:t>
      </w:r>
      <w:bookmarkEnd w:id="11"/>
    </w:p>
    <w:p w14:paraId="5FF955DC" w14:textId="4EE2065D"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Mining tenements include prospecting and exploration licences and mining leases which are granted under the </w:t>
      </w:r>
      <w:r w:rsidRPr="2AD8D8AA">
        <w:rPr>
          <w:rFonts w:ascii="Arial" w:hAnsi="Arial" w:cs="Arial"/>
          <w:i/>
          <w:iCs/>
          <w:sz w:val="24"/>
          <w:szCs w:val="24"/>
        </w:rPr>
        <w:t>Mining Act 1978</w:t>
      </w:r>
      <w:r w:rsidRPr="2AD8D8AA">
        <w:rPr>
          <w:rFonts w:ascii="Arial" w:hAnsi="Arial" w:cs="Arial"/>
          <w:sz w:val="24"/>
          <w:szCs w:val="24"/>
        </w:rPr>
        <w:t xml:space="preserve">. The mining sector argue that as prospecting and exploration licences are not a mining business, they should be exempt from paying local government rates. </w:t>
      </w:r>
    </w:p>
    <w:p w14:paraId="7B5FB6CE" w14:textId="51421D9A" w:rsidR="008C3AFE" w:rsidRPr="00B26D27" w:rsidRDefault="2AD8D8AA" w:rsidP="2AD8D8AA">
      <w:pPr>
        <w:spacing w:after="120" w:line="276" w:lineRule="auto"/>
        <w:jc w:val="both"/>
        <w:rPr>
          <w:rFonts w:ascii="Arial" w:hAnsi="Arial" w:cs="Arial"/>
          <w:sz w:val="24"/>
          <w:szCs w:val="24"/>
        </w:rPr>
      </w:pPr>
      <w:r w:rsidRPr="2AD8D8AA">
        <w:rPr>
          <w:rFonts w:ascii="Arial" w:hAnsi="Arial" w:cs="Arial"/>
          <w:sz w:val="24"/>
          <w:szCs w:val="24"/>
        </w:rPr>
        <w:t>Exemptions apply in some other jurisdictions as they are considered an ‘access right’ not a ‘property right’. The table below shows the range of positions taken across Australia.</w:t>
      </w:r>
    </w:p>
    <w:tbl>
      <w:tblPr>
        <w:tblStyle w:val="DLGCTable-Form1"/>
        <w:tblW w:w="8931" w:type="dxa"/>
        <w:tblLayout w:type="fixed"/>
        <w:tblLook w:val="04A0" w:firstRow="1" w:lastRow="0" w:firstColumn="1" w:lastColumn="0" w:noHBand="0" w:noVBand="1"/>
      </w:tblPr>
      <w:tblGrid>
        <w:gridCol w:w="2405"/>
        <w:gridCol w:w="6526"/>
      </w:tblGrid>
      <w:tr w:rsidR="0074739B" w:rsidRPr="005C20E9" w14:paraId="422F22D3" w14:textId="77777777" w:rsidTr="2AD8D8AA">
        <w:trPr>
          <w:cnfStyle w:val="100000000000" w:firstRow="1" w:lastRow="0" w:firstColumn="0" w:lastColumn="0" w:oddVBand="0" w:evenVBand="0" w:oddHBand="0" w:evenHBand="0" w:firstRowFirstColumn="0" w:firstRowLastColumn="0" w:lastRowFirstColumn="0" w:lastRowLastColumn="0"/>
          <w:trHeight w:val="796"/>
        </w:trPr>
        <w:tc>
          <w:tcPr>
            <w:tcW w:w="2405" w:type="dxa"/>
            <w:shd w:val="clear" w:color="auto" w:fill="C0311A"/>
          </w:tcPr>
          <w:p w14:paraId="4C493513" w14:textId="77777777" w:rsidR="008C3AFE" w:rsidRPr="00F037C9" w:rsidRDefault="2AD8D8AA" w:rsidP="2AD8D8AA">
            <w:pPr>
              <w:spacing w:before="0" w:after="120" w:line="276" w:lineRule="auto"/>
              <w:jc w:val="both"/>
              <w:rPr>
                <w:rFonts w:cs="Arial"/>
                <w:color w:val="FFFFFF" w:themeColor="background1"/>
              </w:rPr>
            </w:pPr>
            <w:r w:rsidRPr="2AD8D8AA">
              <w:rPr>
                <w:rFonts w:cs="Arial"/>
                <w:color w:val="FFFFFF" w:themeColor="background1"/>
              </w:rPr>
              <w:t>Jurisdiction</w:t>
            </w:r>
          </w:p>
        </w:tc>
        <w:tc>
          <w:tcPr>
            <w:tcW w:w="6526" w:type="dxa"/>
            <w:shd w:val="clear" w:color="auto" w:fill="C0311A"/>
          </w:tcPr>
          <w:p w14:paraId="2F85FC5C" w14:textId="77777777" w:rsidR="008C3AFE" w:rsidRPr="00F037C9" w:rsidRDefault="2AD8D8AA" w:rsidP="2AD8D8AA">
            <w:pPr>
              <w:spacing w:before="0" w:after="120" w:line="276" w:lineRule="auto"/>
              <w:jc w:val="both"/>
              <w:rPr>
                <w:rFonts w:cs="Arial"/>
                <w:color w:val="FFFFFF" w:themeColor="background1"/>
              </w:rPr>
            </w:pPr>
            <w:r w:rsidRPr="2AD8D8AA">
              <w:rPr>
                <w:rFonts w:cs="Arial"/>
                <w:color w:val="FFFFFF" w:themeColor="background1"/>
              </w:rPr>
              <w:t>Local Government Act provisions</w:t>
            </w:r>
          </w:p>
        </w:tc>
      </w:tr>
      <w:tr w:rsidR="008C3AFE" w:rsidRPr="005C20E9" w14:paraId="2A723225" w14:textId="77777777" w:rsidTr="2AD8D8AA">
        <w:trPr>
          <w:trHeight w:val="494"/>
        </w:trPr>
        <w:tc>
          <w:tcPr>
            <w:tcW w:w="2405" w:type="dxa"/>
          </w:tcPr>
          <w:p w14:paraId="2557C47B" w14:textId="77777777" w:rsidR="008C3AFE" w:rsidRPr="00F037C9" w:rsidRDefault="2AD8D8AA" w:rsidP="2AD8D8AA">
            <w:pPr>
              <w:spacing w:before="0" w:after="120" w:line="276" w:lineRule="auto"/>
              <w:jc w:val="both"/>
              <w:rPr>
                <w:rFonts w:cs="Arial"/>
              </w:rPr>
            </w:pPr>
            <w:r w:rsidRPr="2AD8D8AA">
              <w:rPr>
                <w:rFonts w:cs="Arial"/>
              </w:rPr>
              <w:t>Western Australia</w:t>
            </w:r>
          </w:p>
        </w:tc>
        <w:tc>
          <w:tcPr>
            <w:tcW w:w="6526" w:type="dxa"/>
          </w:tcPr>
          <w:p w14:paraId="331975A1" w14:textId="77777777" w:rsidR="008C3AFE" w:rsidRPr="00F037C9" w:rsidRDefault="2AD8D8AA" w:rsidP="2AD8D8AA">
            <w:pPr>
              <w:spacing w:before="0" w:after="120" w:line="276" w:lineRule="auto"/>
              <w:rPr>
                <w:rFonts w:cs="Arial"/>
              </w:rPr>
            </w:pPr>
            <w:r w:rsidRPr="2AD8D8AA">
              <w:rPr>
                <w:rFonts w:cs="Arial"/>
              </w:rPr>
              <w:t xml:space="preserve">Relevant interests, which include a mining tenement under the </w:t>
            </w:r>
            <w:r w:rsidRPr="2AD8D8AA">
              <w:rPr>
                <w:rFonts w:cs="Arial"/>
                <w:i/>
                <w:iCs/>
              </w:rPr>
              <w:t>Mining Act 1978</w:t>
            </w:r>
            <w:r w:rsidRPr="2AD8D8AA">
              <w:rPr>
                <w:rFonts w:cs="Arial"/>
              </w:rPr>
              <w:t xml:space="preserve"> or permit, drilling reservation, lease or licence under the </w:t>
            </w:r>
            <w:r w:rsidRPr="2AD8D8AA">
              <w:rPr>
                <w:rFonts w:cs="Arial"/>
                <w:i/>
                <w:iCs/>
              </w:rPr>
              <w:t>Petroleum and Geothermal Energy Resources Act 1967</w:t>
            </w:r>
            <w:r w:rsidRPr="2AD8D8AA">
              <w:rPr>
                <w:rFonts w:cs="Arial"/>
              </w:rPr>
              <w:t xml:space="preserve">, are rateable as unimproved value of the land. </w:t>
            </w:r>
          </w:p>
          <w:p w14:paraId="72C27E3F" w14:textId="5E134410" w:rsidR="008C3AFE" w:rsidRPr="00F037C9" w:rsidRDefault="2AD8D8AA" w:rsidP="2AD8D8AA">
            <w:pPr>
              <w:spacing w:before="0" w:after="120" w:line="276" w:lineRule="auto"/>
              <w:rPr>
                <w:rFonts w:cs="Arial"/>
              </w:rPr>
            </w:pPr>
            <w:r w:rsidRPr="2AD8D8AA">
              <w:rPr>
                <w:rFonts w:cs="Arial"/>
              </w:rPr>
              <w:t>Land with capital improvements can be rated as GRV if approved by the Minister.</w:t>
            </w:r>
          </w:p>
        </w:tc>
      </w:tr>
      <w:tr w:rsidR="008C3AFE" w:rsidRPr="005C20E9" w14:paraId="7601038E" w14:textId="77777777" w:rsidTr="2AD8D8AA">
        <w:trPr>
          <w:trHeight w:val="494"/>
        </w:trPr>
        <w:tc>
          <w:tcPr>
            <w:tcW w:w="2405" w:type="dxa"/>
          </w:tcPr>
          <w:p w14:paraId="79FA87A2" w14:textId="77777777" w:rsidR="008C3AFE" w:rsidRPr="00F037C9" w:rsidRDefault="2AD8D8AA" w:rsidP="2AD8D8AA">
            <w:pPr>
              <w:spacing w:before="0" w:after="120" w:line="276" w:lineRule="auto"/>
              <w:rPr>
                <w:rFonts w:cs="Arial"/>
              </w:rPr>
            </w:pPr>
            <w:r w:rsidRPr="2AD8D8AA">
              <w:rPr>
                <w:rFonts w:cs="Arial"/>
              </w:rPr>
              <w:t>New South Wales</w:t>
            </w:r>
          </w:p>
        </w:tc>
        <w:tc>
          <w:tcPr>
            <w:tcW w:w="6526" w:type="dxa"/>
          </w:tcPr>
          <w:p w14:paraId="1B325C06" w14:textId="77777777" w:rsidR="008C3AFE" w:rsidRPr="00F037C9" w:rsidRDefault="2AD8D8AA" w:rsidP="2AD8D8AA">
            <w:pPr>
              <w:spacing w:before="0" w:after="120" w:line="276" w:lineRule="auto"/>
              <w:rPr>
                <w:rFonts w:cs="Arial"/>
              </w:rPr>
            </w:pPr>
            <w:r w:rsidRPr="2AD8D8AA">
              <w:rPr>
                <w:rFonts w:cs="Arial"/>
              </w:rPr>
              <w:t xml:space="preserve">Mineral claims, as defined in the </w:t>
            </w:r>
            <w:r w:rsidRPr="2AD8D8AA">
              <w:rPr>
                <w:rFonts w:cs="Arial"/>
                <w:i/>
                <w:iCs/>
              </w:rPr>
              <w:t>Mining Act 1992,</w:t>
            </w:r>
            <w:r w:rsidRPr="2AD8D8AA">
              <w:rPr>
                <w:rFonts w:cs="Arial"/>
              </w:rPr>
              <w:t xml:space="preserve"> are exempt from all rates, other than water supply special rates and sewerage special rates. </w:t>
            </w:r>
          </w:p>
        </w:tc>
      </w:tr>
      <w:tr w:rsidR="008C3AFE" w:rsidRPr="005C20E9" w14:paraId="1DC291F3" w14:textId="77777777" w:rsidTr="2AD8D8AA">
        <w:trPr>
          <w:trHeight w:val="494"/>
        </w:trPr>
        <w:tc>
          <w:tcPr>
            <w:tcW w:w="2405" w:type="dxa"/>
          </w:tcPr>
          <w:p w14:paraId="1FF25354" w14:textId="77777777" w:rsidR="008C3AFE" w:rsidRPr="00F037C9" w:rsidRDefault="2AD8D8AA" w:rsidP="2AD8D8AA">
            <w:pPr>
              <w:spacing w:before="0" w:after="120" w:line="276" w:lineRule="auto"/>
              <w:jc w:val="both"/>
              <w:rPr>
                <w:rFonts w:cs="Arial"/>
              </w:rPr>
            </w:pPr>
            <w:r w:rsidRPr="2AD8D8AA">
              <w:rPr>
                <w:rFonts w:cs="Arial"/>
              </w:rPr>
              <w:lastRenderedPageBreak/>
              <w:t>Queensland</w:t>
            </w:r>
          </w:p>
        </w:tc>
        <w:tc>
          <w:tcPr>
            <w:tcW w:w="6526" w:type="dxa"/>
          </w:tcPr>
          <w:p w14:paraId="2E7370FE" w14:textId="5771B671" w:rsidR="008C3AFE" w:rsidRPr="00F037C9" w:rsidRDefault="2AD8D8AA" w:rsidP="2AD8D8AA">
            <w:pPr>
              <w:spacing w:before="0" w:after="120" w:line="276" w:lineRule="auto"/>
              <w:rPr>
                <w:rFonts w:cs="Arial"/>
              </w:rPr>
            </w:pPr>
            <w:r w:rsidRPr="2AD8D8AA">
              <w:rPr>
                <w:rFonts w:cs="Arial"/>
              </w:rPr>
              <w:t>Concessions can be granted to land subject to a greenhouse gas storage tenure, mining tenement or petroleum tenure.</w:t>
            </w:r>
          </w:p>
        </w:tc>
      </w:tr>
      <w:tr w:rsidR="008C3AFE" w:rsidRPr="005C20E9" w14:paraId="6DC9C010" w14:textId="77777777" w:rsidTr="2AD8D8AA">
        <w:trPr>
          <w:trHeight w:val="494"/>
        </w:trPr>
        <w:tc>
          <w:tcPr>
            <w:tcW w:w="2405" w:type="dxa"/>
          </w:tcPr>
          <w:p w14:paraId="4C65CA4E" w14:textId="77777777" w:rsidR="008C3AFE" w:rsidRPr="00F037C9" w:rsidRDefault="2AD8D8AA" w:rsidP="2AD8D8AA">
            <w:pPr>
              <w:spacing w:before="0" w:after="120" w:line="276" w:lineRule="auto"/>
              <w:jc w:val="both"/>
              <w:rPr>
                <w:rFonts w:cs="Arial"/>
              </w:rPr>
            </w:pPr>
            <w:r w:rsidRPr="2AD8D8AA">
              <w:rPr>
                <w:rFonts w:cs="Arial"/>
              </w:rPr>
              <w:t>Victoria</w:t>
            </w:r>
          </w:p>
        </w:tc>
        <w:tc>
          <w:tcPr>
            <w:tcW w:w="6526" w:type="dxa"/>
          </w:tcPr>
          <w:p w14:paraId="780EE08F" w14:textId="65EF85BE" w:rsidR="008C3AFE" w:rsidRPr="00F037C9" w:rsidRDefault="2AD8D8AA" w:rsidP="2AD8D8AA">
            <w:pPr>
              <w:spacing w:before="0" w:after="120" w:line="276" w:lineRule="auto"/>
              <w:rPr>
                <w:rFonts w:cs="Arial"/>
              </w:rPr>
            </w:pPr>
            <w:r w:rsidRPr="2AD8D8AA">
              <w:rPr>
                <w:rFonts w:cs="Arial"/>
              </w:rPr>
              <w:t xml:space="preserve">Currently not rateable, although amendments are being drafted to make land used exclusively for mining purposes rateable. </w:t>
            </w:r>
          </w:p>
        </w:tc>
      </w:tr>
      <w:tr w:rsidR="008C3AFE" w:rsidRPr="005C20E9" w14:paraId="64901E13" w14:textId="77777777" w:rsidTr="2AD8D8AA">
        <w:trPr>
          <w:trHeight w:val="494"/>
        </w:trPr>
        <w:tc>
          <w:tcPr>
            <w:tcW w:w="2405" w:type="dxa"/>
          </w:tcPr>
          <w:p w14:paraId="6FDA183A" w14:textId="77777777" w:rsidR="008C3AFE" w:rsidRPr="00F037C9" w:rsidRDefault="2AD8D8AA" w:rsidP="2AD8D8AA">
            <w:pPr>
              <w:spacing w:before="0" w:after="120" w:line="276" w:lineRule="auto"/>
              <w:jc w:val="both"/>
              <w:rPr>
                <w:rFonts w:cs="Arial"/>
              </w:rPr>
            </w:pPr>
            <w:r w:rsidRPr="2AD8D8AA">
              <w:rPr>
                <w:rFonts w:cs="Arial"/>
              </w:rPr>
              <w:t>South Australia</w:t>
            </w:r>
          </w:p>
        </w:tc>
        <w:tc>
          <w:tcPr>
            <w:tcW w:w="6526" w:type="dxa"/>
          </w:tcPr>
          <w:p w14:paraId="1CE05100" w14:textId="44E1873F" w:rsidR="008C3AFE" w:rsidRPr="00F037C9" w:rsidRDefault="2AD8D8AA" w:rsidP="2AD8D8AA">
            <w:pPr>
              <w:spacing w:before="0" w:after="120" w:line="276" w:lineRule="auto"/>
              <w:rPr>
                <w:rFonts w:cs="Arial"/>
              </w:rPr>
            </w:pPr>
            <w:r w:rsidRPr="2AD8D8AA">
              <w:rPr>
                <w:rFonts w:cs="Arial"/>
              </w:rPr>
              <w:t xml:space="preserve">Lease or licence in relation to exploration for, or recovery of, minerals or petroleum exempt from rates as unalienated Crown land. </w:t>
            </w:r>
          </w:p>
        </w:tc>
      </w:tr>
      <w:tr w:rsidR="008C3AFE" w:rsidRPr="005C20E9" w14:paraId="7961277E" w14:textId="77777777" w:rsidTr="2AD8D8AA">
        <w:trPr>
          <w:trHeight w:val="494"/>
        </w:trPr>
        <w:tc>
          <w:tcPr>
            <w:tcW w:w="2405" w:type="dxa"/>
          </w:tcPr>
          <w:p w14:paraId="07DEBE22" w14:textId="77777777" w:rsidR="008C3AFE" w:rsidRPr="00F037C9" w:rsidRDefault="2AD8D8AA" w:rsidP="2AD8D8AA">
            <w:pPr>
              <w:spacing w:before="0" w:after="120" w:line="276" w:lineRule="auto"/>
              <w:jc w:val="both"/>
              <w:rPr>
                <w:rFonts w:cs="Arial"/>
              </w:rPr>
            </w:pPr>
            <w:r w:rsidRPr="2AD8D8AA">
              <w:rPr>
                <w:rFonts w:cs="Arial"/>
              </w:rPr>
              <w:t>Northern Territory</w:t>
            </w:r>
          </w:p>
        </w:tc>
        <w:tc>
          <w:tcPr>
            <w:tcW w:w="6526" w:type="dxa"/>
          </w:tcPr>
          <w:p w14:paraId="0730E22A" w14:textId="581D7BCB" w:rsidR="008C3AFE" w:rsidRPr="00F037C9" w:rsidRDefault="2AD8D8AA" w:rsidP="2AD8D8AA">
            <w:pPr>
              <w:spacing w:before="0" w:after="120" w:line="276" w:lineRule="auto"/>
              <w:rPr>
                <w:rFonts w:cs="Arial"/>
              </w:rPr>
            </w:pPr>
            <w:r w:rsidRPr="2AD8D8AA">
              <w:rPr>
                <w:rFonts w:cs="Arial"/>
              </w:rPr>
              <w:t>Mining tenements are conditionally rateable. Local governments can apply to the Minister to rate.</w:t>
            </w:r>
          </w:p>
        </w:tc>
      </w:tr>
    </w:tbl>
    <w:p w14:paraId="1FFC34BA" w14:textId="77777777" w:rsidR="009E68C2" w:rsidRDefault="009E68C2" w:rsidP="008C3AFE">
      <w:pPr>
        <w:pStyle w:val="Heading2"/>
        <w:spacing w:after="120" w:line="276" w:lineRule="auto"/>
        <w:rPr>
          <w:rFonts w:ascii="Arial" w:hAnsi="Arial" w:cs="Arial"/>
          <w:color w:val="C00000"/>
        </w:rPr>
      </w:pPr>
      <w:bookmarkStart w:id="12" w:name="_Toc520738737"/>
    </w:p>
    <w:p w14:paraId="4EC74105" w14:textId="787AF454" w:rsidR="008C3AFE" w:rsidRPr="009E68C2" w:rsidRDefault="2AD8D8AA" w:rsidP="2AD8D8AA">
      <w:pPr>
        <w:pStyle w:val="Heading2"/>
        <w:spacing w:after="120" w:line="276" w:lineRule="auto"/>
        <w:rPr>
          <w:rFonts w:ascii="Arial" w:hAnsi="Arial" w:cs="Arial"/>
          <w:color w:val="595959" w:themeColor="text1" w:themeTint="A6"/>
          <w:sz w:val="28"/>
          <w:szCs w:val="28"/>
        </w:rPr>
      </w:pPr>
      <w:r w:rsidRPr="2AD8D8AA">
        <w:rPr>
          <w:rFonts w:ascii="Arial" w:hAnsi="Arial" w:cs="Arial"/>
          <w:color w:val="595959" w:themeColor="text1" w:themeTint="A6"/>
          <w:sz w:val="28"/>
          <w:szCs w:val="28"/>
        </w:rPr>
        <w:t>What are the options for reform?</w:t>
      </w:r>
      <w:bookmarkEnd w:id="12"/>
    </w:p>
    <w:p w14:paraId="4D162F16" w14:textId="412765EE"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Some jurisdictions do provide exploration and prospecting licences an exemption from general rates. In Victoria, amendments are currently being drafted to specify that land used for mining purposes is to be rateable. </w:t>
      </w:r>
    </w:p>
    <w:p w14:paraId="671949C3"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 possible options for reform are outlined below.  </w:t>
      </w:r>
    </w:p>
    <w:tbl>
      <w:tblPr>
        <w:tblStyle w:val="TableGrid"/>
        <w:tblW w:w="9067" w:type="dxa"/>
        <w:tblLook w:val="04A0" w:firstRow="1" w:lastRow="0" w:firstColumn="1" w:lastColumn="0" w:noHBand="0" w:noVBand="1"/>
      </w:tblPr>
      <w:tblGrid>
        <w:gridCol w:w="2689"/>
        <w:gridCol w:w="2976"/>
        <w:gridCol w:w="3402"/>
      </w:tblGrid>
      <w:tr w:rsidR="00083B72" w:rsidRPr="005C20E9" w14:paraId="757F0F0C" w14:textId="77777777" w:rsidTr="2AD8D8AA">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C0311A"/>
          </w:tcPr>
          <w:p w14:paraId="51ABE867" w14:textId="77777777" w:rsidR="00083B72" w:rsidRPr="00F037C9" w:rsidRDefault="2AD8D8AA" w:rsidP="2AD8D8AA">
            <w:pPr>
              <w:spacing w:before="0" w:after="120" w:line="276" w:lineRule="auto"/>
              <w:ind w:left="0"/>
              <w:jc w:val="both"/>
              <w:rPr>
                <w:rFonts w:cs="Arial"/>
                <w:color w:val="FFFFFF" w:themeColor="background1"/>
              </w:rPr>
            </w:pPr>
            <w:r w:rsidRPr="2AD8D8AA">
              <w:rPr>
                <w:rFonts w:cs="Arial"/>
                <w:color w:val="FFFFFF" w:themeColor="background1"/>
              </w:rPr>
              <w:t>Status quo</w:t>
            </w:r>
          </w:p>
        </w:tc>
        <w:tc>
          <w:tcPr>
            <w:tcW w:w="2976" w:type="dxa"/>
            <w:shd w:val="clear" w:color="auto" w:fill="C0311A"/>
          </w:tcPr>
          <w:p w14:paraId="4AFF8D96" w14:textId="77777777" w:rsidR="00083B72" w:rsidRPr="00F037C9" w:rsidRDefault="2AD8D8AA" w:rsidP="2AD8D8AA">
            <w:pPr>
              <w:spacing w:before="0" w:after="120" w:line="276" w:lineRule="auto"/>
              <w:ind w:left="0"/>
              <w:jc w:val="both"/>
              <w:rPr>
                <w:rFonts w:cs="Arial"/>
                <w:color w:val="FFFFFF" w:themeColor="background1"/>
              </w:rPr>
            </w:pPr>
            <w:r w:rsidRPr="2AD8D8AA">
              <w:rPr>
                <w:rFonts w:cs="Arial"/>
                <w:color w:val="FFFFFF" w:themeColor="background1"/>
              </w:rPr>
              <w:t>Exemption</w:t>
            </w:r>
          </w:p>
        </w:tc>
        <w:tc>
          <w:tcPr>
            <w:tcW w:w="3402" w:type="dxa"/>
            <w:shd w:val="clear" w:color="auto" w:fill="C0311A"/>
          </w:tcPr>
          <w:p w14:paraId="48E788FC" w14:textId="77777777" w:rsidR="00083B72" w:rsidRPr="00F037C9" w:rsidRDefault="2AD8D8AA" w:rsidP="2AD8D8AA">
            <w:pPr>
              <w:spacing w:before="0" w:after="120" w:line="276" w:lineRule="auto"/>
              <w:ind w:left="0"/>
              <w:jc w:val="both"/>
              <w:rPr>
                <w:rFonts w:cs="Arial"/>
                <w:color w:val="FFFFFF" w:themeColor="background1"/>
              </w:rPr>
            </w:pPr>
            <w:r w:rsidRPr="2AD8D8AA">
              <w:rPr>
                <w:rFonts w:cs="Arial"/>
                <w:color w:val="FFFFFF" w:themeColor="background1"/>
              </w:rPr>
              <w:t>Lower rate in the dollar than mining</w:t>
            </w:r>
          </w:p>
        </w:tc>
      </w:tr>
      <w:tr w:rsidR="00083B72" w:rsidRPr="005C20E9" w14:paraId="3706ACCB" w14:textId="77777777" w:rsidTr="2AD8D8AA">
        <w:tc>
          <w:tcPr>
            <w:tcW w:w="2689" w:type="dxa"/>
          </w:tcPr>
          <w:p w14:paraId="62E23A93" w14:textId="5F903FC5" w:rsidR="00083B72" w:rsidRPr="00F037C9" w:rsidRDefault="2AD8D8AA" w:rsidP="2AD8D8AA">
            <w:pPr>
              <w:spacing w:before="0" w:after="120" w:line="276" w:lineRule="auto"/>
              <w:ind w:left="0"/>
              <w:rPr>
                <w:rFonts w:cs="Arial"/>
              </w:rPr>
            </w:pPr>
            <w:r w:rsidRPr="2AD8D8AA">
              <w:rPr>
                <w:rFonts w:cs="Arial"/>
              </w:rPr>
              <w:t>Prospecting and exploration licences continue to pay rates.</w:t>
            </w:r>
          </w:p>
        </w:tc>
        <w:tc>
          <w:tcPr>
            <w:tcW w:w="2976" w:type="dxa"/>
          </w:tcPr>
          <w:p w14:paraId="1BEDF890" w14:textId="12C5370E" w:rsidR="00083B72" w:rsidRPr="00F037C9" w:rsidRDefault="2AD8D8AA" w:rsidP="2AD8D8AA">
            <w:pPr>
              <w:spacing w:before="0" w:after="120" w:line="276" w:lineRule="auto"/>
              <w:ind w:left="0"/>
              <w:rPr>
                <w:rFonts w:cs="Arial"/>
              </w:rPr>
            </w:pPr>
            <w:r w:rsidRPr="2AD8D8AA">
              <w:rPr>
                <w:rFonts w:cs="Arial"/>
              </w:rPr>
              <w:t>Prospecting and exploration licences are exempt from paying rates.</w:t>
            </w:r>
          </w:p>
        </w:tc>
        <w:tc>
          <w:tcPr>
            <w:tcW w:w="3402" w:type="dxa"/>
          </w:tcPr>
          <w:p w14:paraId="13657A04" w14:textId="1916DD6E" w:rsidR="00083B72" w:rsidRPr="00F037C9" w:rsidRDefault="2AD8D8AA" w:rsidP="2AD8D8AA">
            <w:pPr>
              <w:spacing w:before="0" w:after="120" w:line="276" w:lineRule="auto"/>
              <w:ind w:left="0"/>
              <w:rPr>
                <w:rFonts w:cs="Arial"/>
              </w:rPr>
            </w:pPr>
            <w:r w:rsidRPr="2AD8D8AA">
              <w:rPr>
                <w:rFonts w:cs="Arial"/>
              </w:rPr>
              <w:t>Local governments must rate exploration and prospecting lower than general mining.</w:t>
            </w:r>
          </w:p>
        </w:tc>
      </w:tr>
    </w:tbl>
    <w:p w14:paraId="161FAA36" w14:textId="77777777" w:rsidR="008C3AFE" w:rsidRPr="005C20E9" w:rsidRDefault="008C3AFE" w:rsidP="008C3AFE">
      <w:pPr>
        <w:spacing w:after="120" w:line="276" w:lineRule="auto"/>
        <w:jc w:val="both"/>
        <w:rPr>
          <w:rFonts w:ascii="Arial" w:hAnsi="Arial" w:cs="Arial"/>
        </w:rPr>
      </w:pPr>
    </w:p>
    <w:p w14:paraId="57D19183" w14:textId="14A0999D"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Mining licences have a limited intrinsic value unless minerals are found and mined. As a result, they have a high turnover of ownership. If a licence is terminated or the lessee does not pay rates for the period of the licence, the rates are generally not able to be recovered by the local government. There have also reportedly been some circumstances where the lessee has not provided correct details when completing the documentation for a mining licence leaving no ability for a local government to take the matter further. </w:t>
      </w:r>
    </w:p>
    <w:p w14:paraId="1DC83BC3"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If rates remain unpaid, local governments have the option of lodging a caveat on the land with the Department of Mines, Industry Regulation and Safety. The caveat forbids the registration of any transfer and can be a tool to encourage the payment of rates, although a fee of approximately $120 applies to lodge and withdraw the caveat. Alternatively, local governments can seek unpaid rates through the court system.</w:t>
      </w:r>
    </w:p>
    <w:p w14:paraId="06284830" w14:textId="77777777" w:rsidR="008C3AFE" w:rsidRPr="005C20E9" w:rsidRDefault="2AD8D8AA" w:rsidP="2AD8D8AA">
      <w:pPr>
        <w:pStyle w:val="Heading1"/>
        <w:spacing w:before="0" w:after="120" w:line="276" w:lineRule="auto"/>
        <w:rPr>
          <w:rFonts w:ascii="Arial" w:hAnsi="Arial" w:cs="Arial"/>
          <w:color w:val="C00000"/>
        </w:rPr>
      </w:pPr>
      <w:bookmarkStart w:id="13" w:name="_Toc520738738"/>
      <w:r w:rsidRPr="2AD8D8AA">
        <w:rPr>
          <w:rFonts w:ascii="Arial" w:hAnsi="Arial" w:cs="Arial"/>
          <w:color w:val="C00000"/>
        </w:rPr>
        <w:lastRenderedPageBreak/>
        <w:t>Rate exemptions</w:t>
      </w:r>
      <w:bookmarkEnd w:id="13"/>
    </w:p>
    <w:p w14:paraId="5265FADB"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 Act provides that all land is rateable unless it is listed as exempt.  </w:t>
      </w:r>
    </w:p>
    <w:p w14:paraId="2D557DD9"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Not all land is required to pay rates. While the Act sets out a number of specific categories, it also provides the power for the Minister for Local Government to approve other land as exempt from rates. </w:t>
      </w:r>
      <w:bookmarkStart w:id="14" w:name="_Hlk519504379"/>
    </w:p>
    <w:tbl>
      <w:tblPr>
        <w:tblStyle w:val="TableGrid"/>
        <w:tblW w:w="0" w:type="auto"/>
        <w:shd w:val="clear" w:color="auto" w:fill="C0311A"/>
        <w:tblLook w:val="04A0" w:firstRow="1" w:lastRow="0" w:firstColumn="1" w:lastColumn="0" w:noHBand="0" w:noVBand="1"/>
      </w:tblPr>
      <w:tblGrid>
        <w:gridCol w:w="9016"/>
      </w:tblGrid>
      <w:tr w:rsidR="0074739B" w:rsidRPr="005C20E9" w14:paraId="2E48CB4E" w14:textId="77777777" w:rsidTr="2AD8D8AA">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43C9C2F3" w14:textId="64F00F8F" w:rsidR="008C3AFE" w:rsidRPr="005C20E9" w:rsidRDefault="2AD8D8AA" w:rsidP="2AD8D8AA">
            <w:pPr>
              <w:spacing w:before="0" w:after="120" w:line="276" w:lineRule="auto"/>
              <w:jc w:val="both"/>
              <w:rPr>
                <w:rFonts w:cs="Arial"/>
                <w:color w:val="FFFFFF" w:themeColor="background1"/>
              </w:rPr>
            </w:pPr>
            <w:r w:rsidRPr="2AD8D8AA">
              <w:rPr>
                <w:rFonts w:cs="Arial"/>
                <w:b w:val="0"/>
                <w:color w:val="FFFFFF" w:themeColor="background1"/>
              </w:rPr>
              <w:t>According to information provided by the Western Austalian Local Government Association (WALGA), in 2017/18, local governments lost more than $44 million in revenue due to rate exemptions. Charitable organisations accounted for a majority of rate revenue loss (35 per cent), followed by Crown Land (16 per cent). The City of Canning noted that in 2017/18, the value of rate exemptions was approximately $820,000 for that district alone.</w:t>
            </w:r>
          </w:p>
        </w:tc>
      </w:tr>
    </w:tbl>
    <w:p w14:paraId="39AC3FCF" w14:textId="77777777" w:rsidR="008C3AFE" w:rsidRPr="005C20E9" w:rsidRDefault="008C3AFE" w:rsidP="008C3AFE">
      <w:pPr>
        <w:rPr>
          <w:rFonts w:ascii="Arial" w:hAnsi="Arial" w:cs="Arial"/>
        </w:rPr>
      </w:pPr>
      <w:bookmarkStart w:id="15" w:name="_Toc520738739"/>
    </w:p>
    <w:p w14:paraId="2018C530" w14:textId="77777777" w:rsidR="008C3AFE" w:rsidRPr="009E68C2" w:rsidRDefault="2AD8D8AA" w:rsidP="2AD8D8AA">
      <w:pPr>
        <w:pStyle w:val="Heading2"/>
        <w:spacing w:before="0" w:after="120" w:line="276" w:lineRule="auto"/>
        <w:rPr>
          <w:rFonts w:ascii="Arial" w:hAnsi="Arial" w:cs="Arial"/>
          <w:color w:val="595959" w:themeColor="text1" w:themeTint="A6"/>
          <w:sz w:val="28"/>
          <w:szCs w:val="28"/>
        </w:rPr>
      </w:pPr>
      <w:r w:rsidRPr="2AD8D8AA">
        <w:rPr>
          <w:rFonts w:ascii="Arial" w:hAnsi="Arial" w:cs="Arial"/>
          <w:color w:val="595959" w:themeColor="text1" w:themeTint="A6"/>
          <w:sz w:val="28"/>
          <w:szCs w:val="28"/>
        </w:rPr>
        <w:t>What are the options for reform?</w:t>
      </w:r>
      <w:bookmarkEnd w:id="14"/>
      <w:bookmarkEnd w:id="15"/>
    </w:p>
    <w:p w14:paraId="715185DF"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Other than land used or held by the Crown (State Government) for a public purpose, a local government or a regional local government, exemptions from rates apply to:</w:t>
      </w:r>
    </w:p>
    <w:p w14:paraId="5F89A822" w14:textId="27E02C59" w:rsidR="008C3AFE" w:rsidRPr="009E68C2" w:rsidRDefault="2AD8D8AA" w:rsidP="2AD8D8AA">
      <w:pPr>
        <w:pStyle w:val="ListParagraph"/>
        <w:numPr>
          <w:ilvl w:val="0"/>
          <w:numId w:val="12"/>
        </w:numPr>
        <w:spacing w:after="120" w:line="276" w:lineRule="auto"/>
        <w:jc w:val="both"/>
        <w:rPr>
          <w:rFonts w:ascii="Arial" w:hAnsi="Arial" w:cs="Arial"/>
          <w:sz w:val="24"/>
          <w:szCs w:val="24"/>
        </w:rPr>
      </w:pPr>
      <w:r w:rsidRPr="2AD8D8AA">
        <w:rPr>
          <w:rFonts w:ascii="Arial" w:hAnsi="Arial" w:cs="Arial"/>
          <w:sz w:val="24"/>
          <w:szCs w:val="24"/>
        </w:rPr>
        <w:t>Land used or held exclusively for churches (religious bodies);</w:t>
      </w:r>
    </w:p>
    <w:p w14:paraId="3F03FE63" w14:textId="44284CCA" w:rsidR="008C3AFE" w:rsidRPr="009E68C2" w:rsidRDefault="2AD8D8AA" w:rsidP="2AD8D8AA">
      <w:pPr>
        <w:pStyle w:val="ListParagraph"/>
        <w:numPr>
          <w:ilvl w:val="0"/>
          <w:numId w:val="12"/>
        </w:numPr>
        <w:spacing w:after="120" w:line="276" w:lineRule="auto"/>
        <w:jc w:val="both"/>
        <w:rPr>
          <w:rFonts w:ascii="Arial" w:hAnsi="Arial" w:cs="Arial"/>
          <w:sz w:val="24"/>
          <w:szCs w:val="24"/>
        </w:rPr>
      </w:pPr>
      <w:r w:rsidRPr="2AD8D8AA">
        <w:rPr>
          <w:rFonts w:ascii="Arial" w:hAnsi="Arial" w:cs="Arial"/>
          <w:sz w:val="24"/>
          <w:szCs w:val="24"/>
        </w:rPr>
        <w:t>Land used or held exclusively for schools;</w:t>
      </w:r>
    </w:p>
    <w:p w14:paraId="1742F43C" w14:textId="40EC77F5" w:rsidR="008C3AFE" w:rsidRPr="009E68C2" w:rsidRDefault="2AD8D8AA" w:rsidP="2AD8D8AA">
      <w:pPr>
        <w:pStyle w:val="ListParagraph"/>
        <w:numPr>
          <w:ilvl w:val="0"/>
          <w:numId w:val="12"/>
        </w:numPr>
        <w:spacing w:after="120" w:line="276" w:lineRule="auto"/>
        <w:jc w:val="both"/>
        <w:rPr>
          <w:rFonts w:ascii="Arial" w:hAnsi="Arial" w:cs="Arial"/>
          <w:sz w:val="24"/>
          <w:szCs w:val="24"/>
        </w:rPr>
      </w:pPr>
      <w:r w:rsidRPr="2AD8D8AA">
        <w:rPr>
          <w:rFonts w:ascii="Arial" w:hAnsi="Arial" w:cs="Arial"/>
          <w:sz w:val="24"/>
          <w:szCs w:val="24"/>
        </w:rPr>
        <w:t>Land used exclusively for charitable purposes;</w:t>
      </w:r>
    </w:p>
    <w:p w14:paraId="7EA05438" w14:textId="3455E81B" w:rsidR="008C3AFE" w:rsidRPr="009E68C2" w:rsidRDefault="2AD8D8AA" w:rsidP="2AD8D8AA">
      <w:pPr>
        <w:pStyle w:val="ListParagraph"/>
        <w:numPr>
          <w:ilvl w:val="0"/>
          <w:numId w:val="12"/>
        </w:numPr>
        <w:spacing w:after="120" w:line="276" w:lineRule="auto"/>
        <w:jc w:val="both"/>
        <w:rPr>
          <w:rFonts w:ascii="Arial" w:hAnsi="Arial" w:cs="Arial"/>
          <w:sz w:val="24"/>
          <w:szCs w:val="24"/>
        </w:rPr>
      </w:pPr>
      <w:r w:rsidRPr="2AD8D8AA">
        <w:rPr>
          <w:rFonts w:ascii="Arial" w:hAnsi="Arial" w:cs="Arial"/>
          <w:sz w:val="24"/>
          <w:szCs w:val="24"/>
        </w:rPr>
        <w:t>Land vested in trustees for agriculture or horticultural show purposes;</w:t>
      </w:r>
    </w:p>
    <w:p w14:paraId="67CBF1E9" w14:textId="2B48D3B7" w:rsidR="008C3AFE" w:rsidRPr="009E68C2" w:rsidRDefault="2AD8D8AA" w:rsidP="2AD8D8AA">
      <w:pPr>
        <w:pStyle w:val="ListParagraph"/>
        <w:numPr>
          <w:ilvl w:val="0"/>
          <w:numId w:val="12"/>
        </w:numPr>
        <w:spacing w:after="120" w:line="276" w:lineRule="auto"/>
        <w:jc w:val="both"/>
        <w:rPr>
          <w:rFonts w:ascii="Arial" w:hAnsi="Arial" w:cs="Arial"/>
          <w:sz w:val="24"/>
          <w:szCs w:val="24"/>
        </w:rPr>
      </w:pPr>
      <w:r w:rsidRPr="2AD8D8AA">
        <w:rPr>
          <w:rFonts w:ascii="Arial" w:hAnsi="Arial" w:cs="Arial"/>
          <w:sz w:val="24"/>
          <w:szCs w:val="24"/>
        </w:rPr>
        <w:t>Land owned by Co-operative Bulk Handling Limited (CBH); and</w:t>
      </w:r>
    </w:p>
    <w:p w14:paraId="160C645E" w14:textId="45816227" w:rsidR="008C3AFE" w:rsidRPr="009E68C2" w:rsidRDefault="2AD8D8AA" w:rsidP="2AD8D8AA">
      <w:pPr>
        <w:pStyle w:val="ListParagraph"/>
        <w:numPr>
          <w:ilvl w:val="0"/>
          <w:numId w:val="12"/>
        </w:numPr>
        <w:spacing w:after="120" w:line="276" w:lineRule="auto"/>
        <w:jc w:val="both"/>
        <w:rPr>
          <w:rFonts w:ascii="Arial" w:hAnsi="Arial" w:cs="Arial"/>
          <w:sz w:val="24"/>
          <w:szCs w:val="24"/>
        </w:rPr>
      </w:pPr>
      <w:r w:rsidRPr="2AD8D8AA">
        <w:rPr>
          <w:rFonts w:ascii="Arial" w:hAnsi="Arial" w:cs="Arial"/>
          <w:sz w:val="24"/>
          <w:szCs w:val="24"/>
        </w:rPr>
        <w:t>Land exempted by the Minister for Local Government.</w:t>
      </w:r>
    </w:p>
    <w:p w14:paraId="74733320"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There is an argument that everyone should pay local government rates as everyone uses the services and facilities provided by the local government, from roads to parks and community facilities. In addition, rate exemptions can have a significant impact on the capacity of local governments to raise rate revenue, especially in regional and remote areas. It is then left to the ratepayers to make up the shortfall. </w:t>
      </w:r>
    </w:p>
    <w:tbl>
      <w:tblPr>
        <w:tblStyle w:val="TableGrid"/>
        <w:tblW w:w="0" w:type="auto"/>
        <w:shd w:val="clear" w:color="auto" w:fill="C0311A"/>
        <w:tblLook w:val="04A0" w:firstRow="1" w:lastRow="0" w:firstColumn="1" w:lastColumn="0" w:noHBand="0" w:noVBand="1"/>
      </w:tblPr>
      <w:tblGrid>
        <w:gridCol w:w="9016"/>
      </w:tblGrid>
      <w:tr w:rsidR="0074739B" w:rsidRPr="005C20E9" w14:paraId="290299CB" w14:textId="77777777" w:rsidTr="2AD8D8AA">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027D4FAF" w14:textId="77777777" w:rsidR="008C3AFE" w:rsidRPr="00F037C9" w:rsidRDefault="2AD8D8AA" w:rsidP="2AD8D8AA">
            <w:pPr>
              <w:spacing w:before="0" w:after="120" w:line="276" w:lineRule="auto"/>
              <w:jc w:val="both"/>
              <w:rPr>
                <w:rFonts w:cs="Arial"/>
                <w:b w:val="0"/>
                <w:color w:val="FFFFFF" w:themeColor="background1"/>
              </w:rPr>
            </w:pPr>
            <w:r w:rsidRPr="2AD8D8AA">
              <w:rPr>
                <w:rFonts w:cs="Arial"/>
                <w:b w:val="0"/>
                <w:color w:val="FFFFFF" w:themeColor="background1"/>
              </w:rPr>
              <w:t xml:space="preserve">CBH Group (commonly known as CBH, an acronym for Co-operative Bulk Handling) is a grain growers’ cooperative that handles, markets and processes grain from the wheatbelt of Western Australia. </w:t>
            </w:r>
          </w:p>
          <w:p w14:paraId="1198FCC2" w14:textId="0C23E4DC" w:rsidR="009D6A97" w:rsidRPr="00F037C9" w:rsidRDefault="2AD8D8AA" w:rsidP="2AD8D8AA">
            <w:pPr>
              <w:spacing w:before="0" w:after="120" w:line="276" w:lineRule="auto"/>
              <w:jc w:val="both"/>
              <w:rPr>
                <w:rFonts w:cs="Arial"/>
                <w:b w:val="0"/>
                <w:color w:val="FFFFFF" w:themeColor="background1"/>
              </w:rPr>
            </w:pPr>
            <w:r w:rsidRPr="2AD8D8AA">
              <w:rPr>
                <w:rFonts w:cs="Arial"/>
                <w:b w:val="0"/>
                <w:color w:val="FFFFFF" w:themeColor="background1"/>
              </w:rPr>
              <w:t xml:space="preserve">Currently land owned or leased by CBH is exempt from paying local government rates where CBH has agreed, in writing, to make a contribution to the local government. Local governments have expressed a view that the contributions made by CBH are not adequate. </w:t>
            </w:r>
          </w:p>
          <w:p w14:paraId="1C66A632" w14:textId="211DDC4B" w:rsidR="008C3AFE" w:rsidRPr="005C20E9" w:rsidRDefault="2AD8D8AA" w:rsidP="2AD8D8AA">
            <w:pPr>
              <w:spacing w:before="0" w:after="120" w:line="276" w:lineRule="auto"/>
              <w:jc w:val="both"/>
              <w:rPr>
                <w:rFonts w:cs="Arial"/>
                <w:color w:val="FFFFFF" w:themeColor="background1"/>
              </w:rPr>
            </w:pPr>
            <w:r w:rsidRPr="2AD8D8AA">
              <w:rPr>
                <w:rFonts w:cs="Arial"/>
                <w:b w:val="0"/>
                <w:color w:val="FFFFFF" w:themeColor="background1"/>
              </w:rPr>
              <w:t xml:space="preserve"> In all other jurisdictions, similar sites are rateable.</w:t>
            </w:r>
          </w:p>
        </w:tc>
      </w:tr>
    </w:tbl>
    <w:p w14:paraId="63D2D21E" w14:textId="77777777" w:rsidR="008C3AFE" w:rsidRPr="009E68C2" w:rsidRDefault="008C3AFE" w:rsidP="008C3AFE">
      <w:pPr>
        <w:spacing w:after="120" w:line="276" w:lineRule="auto"/>
        <w:jc w:val="both"/>
        <w:rPr>
          <w:rFonts w:ascii="Arial" w:hAnsi="Arial" w:cs="Arial"/>
          <w:sz w:val="24"/>
        </w:rPr>
      </w:pPr>
    </w:p>
    <w:p w14:paraId="29D3ACC8"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Nevertheless, a number of organisations provide important services within the community with very limited funding. If those organisations are required to pay rates, it may impact on the ability for them to continue to provide those services. This may </w:t>
      </w:r>
      <w:r w:rsidRPr="2AD8D8AA">
        <w:rPr>
          <w:rFonts w:ascii="Arial" w:hAnsi="Arial" w:cs="Arial"/>
          <w:sz w:val="24"/>
          <w:szCs w:val="24"/>
        </w:rPr>
        <w:lastRenderedPageBreak/>
        <w:t xml:space="preserve">ultimately cost the local government in having to provide the services in house or alternatively the services to the community are removed or reduced. Examples could include aged care, domestic violence support services and disability service providers. </w:t>
      </w:r>
    </w:p>
    <w:p w14:paraId="38982D01"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Rather than requiring everyone to pay rates, an alternative approach could be to require every occupier of land to pay a contribution to the local government. The capped rate could be the minimum payment set by the local government, or alternatively, an amount set in legislation.</w:t>
      </w:r>
    </w:p>
    <w:p w14:paraId="4103499E"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Concessions can also be used by local governments, including to reduce the rate burden on a ratepayer when there have been significant valuation changes. Currently, offering a concession is at the discretion of individual local governments.</w:t>
      </w:r>
    </w:p>
    <w:p w14:paraId="362C0C77"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Possible options for reforms are outlined in the below table.</w:t>
      </w:r>
    </w:p>
    <w:tbl>
      <w:tblPr>
        <w:tblStyle w:val="TableGrid"/>
        <w:tblW w:w="9067" w:type="dxa"/>
        <w:tblLook w:val="04A0" w:firstRow="1" w:lastRow="0" w:firstColumn="1" w:lastColumn="0" w:noHBand="0" w:noVBand="1"/>
      </w:tblPr>
      <w:tblGrid>
        <w:gridCol w:w="4106"/>
        <w:gridCol w:w="4961"/>
      </w:tblGrid>
      <w:tr w:rsidR="003B084F" w:rsidRPr="005C20E9" w14:paraId="05395D9C" w14:textId="77777777" w:rsidTr="2AD8D8AA">
        <w:trPr>
          <w:cnfStyle w:val="100000000000" w:firstRow="1" w:lastRow="0" w:firstColumn="0" w:lastColumn="0" w:oddVBand="0" w:evenVBand="0" w:oddHBand="0" w:evenHBand="0" w:firstRowFirstColumn="0" w:firstRowLastColumn="0" w:lastRowFirstColumn="0" w:lastRowLastColumn="0"/>
        </w:trPr>
        <w:tc>
          <w:tcPr>
            <w:tcW w:w="4106" w:type="dxa"/>
            <w:shd w:val="clear" w:color="auto" w:fill="C0311A"/>
          </w:tcPr>
          <w:p w14:paraId="00C96F72" w14:textId="77777777" w:rsidR="003B084F" w:rsidRPr="00F037C9" w:rsidRDefault="2AD8D8AA" w:rsidP="2AD8D8AA">
            <w:pPr>
              <w:spacing w:before="0" w:after="120" w:line="276" w:lineRule="auto"/>
              <w:ind w:left="0"/>
              <w:jc w:val="both"/>
              <w:rPr>
                <w:rFonts w:cs="Arial"/>
                <w:color w:val="FFFFFF" w:themeColor="background1"/>
              </w:rPr>
            </w:pPr>
            <w:r w:rsidRPr="2AD8D8AA">
              <w:rPr>
                <w:rFonts w:cs="Arial"/>
                <w:color w:val="FFFFFF" w:themeColor="background1"/>
              </w:rPr>
              <w:t>Everyone pays rates</w:t>
            </w:r>
          </w:p>
        </w:tc>
        <w:tc>
          <w:tcPr>
            <w:tcW w:w="4961" w:type="dxa"/>
            <w:shd w:val="clear" w:color="auto" w:fill="C0311A"/>
          </w:tcPr>
          <w:p w14:paraId="4AC51166" w14:textId="77777777" w:rsidR="003B084F" w:rsidRPr="00F037C9" w:rsidRDefault="2AD8D8AA" w:rsidP="2AD8D8AA">
            <w:pPr>
              <w:spacing w:before="0" w:after="120" w:line="276" w:lineRule="auto"/>
              <w:ind w:left="0"/>
              <w:jc w:val="both"/>
              <w:rPr>
                <w:rFonts w:cs="Arial"/>
                <w:color w:val="FFFFFF" w:themeColor="background1"/>
              </w:rPr>
            </w:pPr>
            <w:r w:rsidRPr="2AD8D8AA">
              <w:rPr>
                <w:rFonts w:cs="Arial"/>
                <w:color w:val="FFFFFF" w:themeColor="background1"/>
              </w:rPr>
              <w:t>Minimum contribution</w:t>
            </w:r>
          </w:p>
        </w:tc>
      </w:tr>
      <w:tr w:rsidR="003B084F" w:rsidRPr="005C20E9" w14:paraId="0FF98F35" w14:textId="77777777" w:rsidTr="2AD8D8AA">
        <w:tc>
          <w:tcPr>
            <w:tcW w:w="4106" w:type="dxa"/>
          </w:tcPr>
          <w:p w14:paraId="2AB8D6E1" w14:textId="244D6E6C" w:rsidR="003B084F" w:rsidRPr="00F037C9" w:rsidRDefault="2AD8D8AA" w:rsidP="2AD8D8AA">
            <w:pPr>
              <w:spacing w:before="0" w:after="120" w:line="276" w:lineRule="auto"/>
              <w:ind w:left="0"/>
              <w:rPr>
                <w:rFonts w:cs="Arial"/>
              </w:rPr>
            </w:pPr>
            <w:r w:rsidRPr="2AD8D8AA">
              <w:rPr>
                <w:rFonts w:cs="Arial"/>
              </w:rPr>
              <w:t>Every owner of land is required to pay rates.</w:t>
            </w:r>
          </w:p>
        </w:tc>
        <w:tc>
          <w:tcPr>
            <w:tcW w:w="4961" w:type="dxa"/>
          </w:tcPr>
          <w:p w14:paraId="10185174" w14:textId="3EF628AA" w:rsidR="003B084F" w:rsidRPr="00F037C9" w:rsidRDefault="2AD8D8AA" w:rsidP="2AD8D8AA">
            <w:pPr>
              <w:spacing w:before="0" w:after="120" w:line="276" w:lineRule="auto"/>
              <w:ind w:left="0"/>
              <w:rPr>
                <w:rFonts w:cs="Arial"/>
              </w:rPr>
            </w:pPr>
            <w:r w:rsidRPr="2AD8D8AA">
              <w:rPr>
                <w:rFonts w:cs="Arial"/>
              </w:rPr>
              <w:t>Every occupier of land has to pay a minimum contribution to the local government.</w:t>
            </w:r>
          </w:p>
        </w:tc>
      </w:tr>
      <w:tr w:rsidR="003B084F" w:rsidRPr="005C20E9" w14:paraId="5AE5B9A0" w14:textId="77777777" w:rsidTr="2AD8D8AA">
        <w:tc>
          <w:tcPr>
            <w:tcW w:w="4106" w:type="dxa"/>
          </w:tcPr>
          <w:p w14:paraId="7E423E8E" w14:textId="3FAC2822" w:rsidR="003B084F" w:rsidRPr="00F037C9" w:rsidRDefault="2AD8D8AA" w:rsidP="2AD8D8AA">
            <w:pPr>
              <w:spacing w:before="0" w:after="120" w:line="276" w:lineRule="auto"/>
              <w:ind w:left="0"/>
              <w:rPr>
                <w:rFonts w:cs="Arial"/>
              </w:rPr>
            </w:pPr>
            <w:r w:rsidRPr="2AD8D8AA">
              <w:rPr>
                <w:rFonts w:cs="Arial"/>
              </w:rPr>
              <w:t>Local governments could offer concessions to land owners if determined by council.</w:t>
            </w:r>
          </w:p>
        </w:tc>
        <w:tc>
          <w:tcPr>
            <w:tcW w:w="4961" w:type="dxa"/>
          </w:tcPr>
          <w:p w14:paraId="4E66DAD3" w14:textId="7E5B2346" w:rsidR="003B084F" w:rsidRPr="00F037C9" w:rsidRDefault="2AD8D8AA" w:rsidP="2AD8D8AA">
            <w:pPr>
              <w:spacing w:before="0" w:after="120" w:line="276" w:lineRule="auto"/>
              <w:ind w:left="0"/>
              <w:rPr>
                <w:rFonts w:cs="Arial"/>
              </w:rPr>
            </w:pPr>
            <w:r w:rsidRPr="2AD8D8AA">
              <w:rPr>
                <w:rFonts w:cs="Arial"/>
              </w:rPr>
              <w:t>The capped amount could be the minimum payment set by the local government, or an amount set in legislation.</w:t>
            </w:r>
          </w:p>
        </w:tc>
      </w:tr>
    </w:tbl>
    <w:p w14:paraId="25501C4B" w14:textId="77777777" w:rsidR="008C3AFE" w:rsidRPr="005C20E9" w:rsidRDefault="008C3AFE" w:rsidP="008C3AFE">
      <w:pPr>
        <w:rPr>
          <w:rFonts w:ascii="Arial" w:hAnsi="Arial" w:cs="Arial"/>
        </w:rPr>
      </w:pPr>
      <w:bookmarkStart w:id="16" w:name="_Toc520738740"/>
    </w:p>
    <w:p w14:paraId="0D5A238B" w14:textId="77777777" w:rsidR="008C3AFE" w:rsidRPr="005C20E9" w:rsidRDefault="2AD8D8AA" w:rsidP="2AD8D8AA">
      <w:pPr>
        <w:pStyle w:val="Heading1"/>
        <w:spacing w:before="0" w:after="120" w:line="276" w:lineRule="auto"/>
        <w:rPr>
          <w:rFonts w:ascii="Arial" w:hAnsi="Arial" w:cs="Arial"/>
          <w:color w:val="C00000"/>
        </w:rPr>
      </w:pPr>
      <w:r w:rsidRPr="2AD8D8AA">
        <w:rPr>
          <w:rFonts w:ascii="Arial" w:hAnsi="Arial" w:cs="Arial"/>
          <w:color w:val="C00000"/>
        </w:rPr>
        <w:t xml:space="preserve">Exemptions: Charitable Organisations </w:t>
      </w:r>
      <w:bookmarkEnd w:id="16"/>
    </w:p>
    <w:p w14:paraId="56124B1C" w14:textId="4469999C"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One of the more contentious exemptions is for ‘land used exclusively for ‘charitable purposes’. The meaning of ‘land used exclusively for charitable purposes’ is not defined in the Act and differing interpretations of the meanings of ‘charity’ and ‘charitable purposes’ have continued to prove challenging across all levels of government in Australia. Each jurisdiction has taken a different approach to defining ‘charity’ and ‘charitable purposes’.  </w:t>
      </w:r>
    </w:p>
    <w:p w14:paraId="16D8532E" w14:textId="2EBA0633" w:rsidR="008C3AFE" w:rsidRPr="009E68C2" w:rsidRDefault="2AD8D8AA" w:rsidP="2AD8D8AA">
      <w:pPr>
        <w:spacing w:after="120" w:line="276" w:lineRule="auto"/>
        <w:jc w:val="both"/>
        <w:rPr>
          <w:rFonts w:ascii="Arial" w:hAnsi="Arial" w:cs="Arial"/>
          <w:color w:val="C00000"/>
          <w:sz w:val="24"/>
          <w:szCs w:val="24"/>
        </w:rPr>
      </w:pPr>
      <w:r w:rsidRPr="2AD8D8AA">
        <w:rPr>
          <w:rFonts w:ascii="Arial" w:hAnsi="Arial" w:cs="Arial"/>
          <w:sz w:val="24"/>
          <w:szCs w:val="24"/>
        </w:rPr>
        <w:t xml:space="preserve">In Western Australia the meaning of what constitutes ‘land used exclusively for charitable purposes’ has been the subject of several key decisions by the State Administrative Tribunal (SAT). These decisions have been a matter of contention for the local government sector as exemptions have been provided to facilities for aged care even when residents are paying market rates for the individual housing within an estate, and to industry associations because they have a training arm.  </w:t>
      </w:r>
    </w:p>
    <w:p w14:paraId="03FBD5AB" w14:textId="77777777" w:rsidR="008C3AFE" w:rsidRPr="005C20E9" w:rsidRDefault="2AD8D8AA" w:rsidP="2AD8D8AA">
      <w:pPr>
        <w:pStyle w:val="Heading2"/>
        <w:spacing w:before="0" w:after="120" w:line="276" w:lineRule="auto"/>
        <w:jc w:val="both"/>
        <w:rPr>
          <w:rFonts w:ascii="Arial" w:hAnsi="Arial" w:cs="Arial"/>
          <w:color w:val="C00000"/>
        </w:rPr>
      </w:pPr>
      <w:bookmarkStart w:id="17" w:name="_Toc502843556"/>
      <w:bookmarkStart w:id="18" w:name="_Toc503184450"/>
      <w:bookmarkStart w:id="19" w:name="_Toc503278163"/>
      <w:bookmarkStart w:id="20" w:name="_Toc503280869"/>
      <w:bookmarkStart w:id="21" w:name="_Toc503342720"/>
      <w:bookmarkStart w:id="22" w:name="_Toc503450984"/>
      <w:bookmarkStart w:id="23" w:name="_Toc503451276"/>
      <w:bookmarkStart w:id="24" w:name="_Toc503540665"/>
      <w:bookmarkStart w:id="25" w:name="_Toc504052833"/>
      <w:bookmarkStart w:id="26" w:name="_Toc504054831"/>
      <w:bookmarkStart w:id="27" w:name="_Toc504057512"/>
      <w:bookmarkStart w:id="28" w:name="_Toc506291933"/>
      <w:bookmarkStart w:id="29" w:name="_Toc520738741"/>
      <w:r w:rsidRPr="2AD8D8AA">
        <w:rPr>
          <w:rFonts w:ascii="Arial" w:hAnsi="Arial" w:cs="Arial"/>
          <w:color w:val="C00000"/>
        </w:rPr>
        <w:t>Across Australia</w:t>
      </w:r>
      <w:bookmarkEnd w:id="17"/>
      <w:bookmarkEnd w:id="18"/>
      <w:bookmarkEnd w:id="19"/>
      <w:bookmarkEnd w:id="20"/>
      <w:bookmarkEnd w:id="21"/>
      <w:bookmarkEnd w:id="22"/>
      <w:bookmarkEnd w:id="23"/>
      <w:bookmarkEnd w:id="24"/>
      <w:bookmarkEnd w:id="25"/>
      <w:bookmarkEnd w:id="26"/>
      <w:bookmarkEnd w:id="27"/>
      <w:bookmarkEnd w:id="28"/>
      <w:bookmarkEnd w:id="29"/>
    </w:p>
    <w:tbl>
      <w:tblPr>
        <w:tblStyle w:val="DLGCTable-Form1"/>
        <w:tblW w:w="8931" w:type="dxa"/>
        <w:tblLayout w:type="fixed"/>
        <w:tblLook w:val="04A0" w:firstRow="1" w:lastRow="0" w:firstColumn="1" w:lastColumn="0" w:noHBand="0" w:noVBand="1"/>
      </w:tblPr>
      <w:tblGrid>
        <w:gridCol w:w="1980"/>
        <w:gridCol w:w="6951"/>
      </w:tblGrid>
      <w:tr w:rsidR="0074739B" w:rsidRPr="005C20E9" w14:paraId="49737471" w14:textId="77777777" w:rsidTr="2AD8D8AA">
        <w:trPr>
          <w:cnfStyle w:val="100000000000" w:firstRow="1" w:lastRow="0" w:firstColumn="0" w:lastColumn="0" w:oddVBand="0" w:evenVBand="0" w:oddHBand="0" w:evenHBand="0" w:firstRowFirstColumn="0" w:firstRowLastColumn="0" w:lastRowFirstColumn="0" w:lastRowLastColumn="0"/>
          <w:trHeight w:val="796"/>
        </w:trPr>
        <w:tc>
          <w:tcPr>
            <w:tcW w:w="1980" w:type="dxa"/>
            <w:shd w:val="clear" w:color="auto" w:fill="C0311A"/>
          </w:tcPr>
          <w:p w14:paraId="6F40BF4F" w14:textId="77777777" w:rsidR="008C3AFE" w:rsidRPr="0081240C" w:rsidRDefault="2AD8D8AA" w:rsidP="2AD8D8AA">
            <w:pPr>
              <w:spacing w:before="0" w:after="120" w:line="276" w:lineRule="auto"/>
              <w:jc w:val="both"/>
              <w:rPr>
                <w:rFonts w:cs="Arial"/>
                <w:color w:val="FFFFFF" w:themeColor="background1"/>
              </w:rPr>
            </w:pPr>
            <w:r w:rsidRPr="2AD8D8AA">
              <w:rPr>
                <w:rFonts w:cs="Arial"/>
                <w:color w:val="FFFFFF" w:themeColor="background1"/>
              </w:rPr>
              <w:t>Jurisdiction</w:t>
            </w:r>
          </w:p>
        </w:tc>
        <w:tc>
          <w:tcPr>
            <w:tcW w:w="6951" w:type="dxa"/>
            <w:shd w:val="clear" w:color="auto" w:fill="C0311A"/>
          </w:tcPr>
          <w:p w14:paraId="21F830C3" w14:textId="77777777" w:rsidR="008C3AFE" w:rsidRPr="0081240C" w:rsidRDefault="2AD8D8AA" w:rsidP="2AD8D8AA">
            <w:pPr>
              <w:spacing w:before="0" w:after="120" w:line="276" w:lineRule="auto"/>
              <w:jc w:val="both"/>
              <w:rPr>
                <w:rFonts w:cs="Arial"/>
                <w:color w:val="FFFFFF" w:themeColor="background1"/>
              </w:rPr>
            </w:pPr>
            <w:r w:rsidRPr="2AD8D8AA">
              <w:rPr>
                <w:rFonts w:cs="Arial"/>
                <w:color w:val="FFFFFF" w:themeColor="background1"/>
              </w:rPr>
              <w:t>Rating of land used for charitable purposes</w:t>
            </w:r>
          </w:p>
        </w:tc>
      </w:tr>
      <w:tr w:rsidR="008C3AFE" w:rsidRPr="005C20E9" w14:paraId="22990884" w14:textId="77777777" w:rsidTr="2AD8D8AA">
        <w:trPr>
          <w:trHeight w:val="494"/>
        </w:trPr>
        <w:tc>
          <w:tcPr>
            <w:tcW w:w="1980" w:type="dxa"/>
          </w:tcPr>
          <w:p w14:paraId="6D46F774" w14:textId="77777777" w:rsidR="008C3AFE" w:rsidRPr="0081240C" w:rsidRDefault="2AD8D8AA" w:rsidP="2AD8D8AA">
            <w:pPr>
              <w:spacing w:before="0" w:after="120" w:line="276" w:lineRule="auto"/>
              <w:jc w:val="both"/>
              <w:rPr>
                <w:rFonts w:cs="Arial"/>
              </w:rPr>
            </w:pPr>
            <w:r w:rsidRPr="2AD8D8AA">
              <w:rPr>
                <w:rFonts w:cs="Arial"/>
              </w:rPr>
              <w:t>Western Australia</w:t>
            </w:r>
          </w:p>
        </w:tc>
        <w:tc>
          <w:tcPr>
            <w:tcW w:w="6951" w:type="dxa"/>
          </w:tcPr>
          <w:p w14:paraId="56900644" w14:textId="77777777" w:rsidR="008C3AFE" w:rsidRPr="0081240C" w:rsidRDefault="2AD8D8AA" w:rsidP="2AD8D8AA">
            <w:pPr>
              <w:pStyle w:val="ListParagraph"/>
              <w:numPr>
                <w:ilvl w:val="0"/>
                <w:numId w:val="17"/>
              </w:numPr>
              <w:spacing w:before="0" w:after="120" w:line="276" w:lineRule="auto"/>
              <w:ind w:left="322"/>
              <w:rPr>
                <w:rFonts w:cs="Arial"/>
              </w:rPr>
            </w:pPr>
            <w:r w:rsidRPr="2AD8D8AA">
              <w:rPr>
                <w:rFonts w:cs="Arial"/>
              </w:rPr>
              <w:t>‘land used exclusively for charitable purposes’ is not rateable land.</w:t>
            </w:r>
          </w:p>
          <w:p w14:paraId="6E4D328C" w14:textId="77777777" w:rsidR="008C3AFE" w:rsidRPr="0081240C" w:rsidRDefault="2AD8D8AA" w:rsidP="2AD8D8AA">
            <w:pPr>
              <w:pStyle w:val="ListParagraph"/>
              <w:numPr>
                <w:ilvl w:val="0"/>
                <w:numId w:val="17"/>
              </w:numPr>
              <w:spacing w:before="0" w:after="120" w:line="276" w:lineRule="auto"/>
              <w:ind w:left="322"/>
              <w:rPr>
                <w:rFonts w:cs="Arial"/>
              </w:rPr>
            </w:pPr>
            <w:r w:rsidRPr="2AD8D8AA">
              <w:rPr>
                <w:rFonts w:cs="Arial"/>
              </w:rPr>
              <w:lastRenderedPageBreak/>
              <w:t>Not defined in the Act and has instead been determined by decisions in common law.</w:t>
            </w:r>
          </w:p>
        </w:tc>
      </w:tr>
      <w:tr w:rsidR="008C3AFE" w:rsidRPr="005C20E9" w14:paraId="507D1994" w14:textId="77777777" w:rsidTr="2AD8D8AA">
        <w:trPr>
          <w:trHeight w:val="494"/>
        </w:trPr>
        <w:tc>
          <w:tcPr>
            <w:tcW w:w="1980" w:type="dxa"/>
          </w:tcPr>
          <w:p w14:paraId="63E879E8" w14:textId="28B7B498" w:rsidR="008C3AFE" w:rsidRPr="0081240C" w:rsidRDefault="2AD8D8AA" w:rsidP="2AD8D8AA">
            <w:pPr>
              <w:spacing w:before="0" w:after="120" w:line="276" w:lineRule="auto"/>
              <w:rPr>
                <w:rFonts w:cs="Arial"/>
              </w:rPr>
            </w:pPr>
            <w:r w:rsidRPr="2AD8D8AA">
              <w:rPr>
                <w:rFonts w:cs="Arial"/>
              </w:rPr>
              <w:lastRenderedPageBreak/>
              <w:t>New South Wales</w:t>
            </w:r>
          </w:p>
        </w:tc>
        <w:tc>
          <w:tcPr>
            <w:tcW w:w="6951" w:type="dxa"/>
          </w:tcPr>
          <w:p w14:paraId="68999DD5" w14:textId="77777777" w:rsidR="008C3AFE" w:rsidRPr="0081240C" w:rsidRDefault="2AD8D8AA" w:rsidP="2AD8D8AA">
            <w:pPr>
              <w:pStyle w:val="ListParagraph"/>
              <w:numPr>
                <w:ilvl w:val="0"/>
                <w:numId w:val="17"/>
              </w:numPr>
              <w:spacing w:before="0" w:after="120" w:line="276" w:lineRule="auto"/>
              <w:ind w:left="322"/>
              <w:rPr>
                <w:rFonts w:cs="Arial"/>
              </w:rPr>
            </w:pPr>
            <w:r w:rsidRPr="2AD8D8AA">
              <w:rPr>
                <w:rFonts w:cs="Arial"/>
              </w:rPr>
              <w:t>The NSW LG Act 1993 exempts certain land from all rates other than water supply special rates and sewage special rates.  This includes charitable organisations and public institutions.</w:t>
            </w:r>
          </w:p>
          <w:p w14:paraId="6848EB70" w14:textId="77777777" w:rsidR="008C3AFE" w:rsidRPr="0081240C" w:rsidRDefault="2AD8D8AA" w:rsidP="2AD8D8AA">
            <w:pPr>
              <w:pStyle w:val="ListParagraph"/>
              <w:numPr>
                <w:ilvl w:val="0"/>
                <w:numId w:val="17"/>
              </w:numPr>
              <w:spacing w:before="0" w:after="120" w:line="276" w:lineRule="auto"/>
              <w:ind w:left="322"/>
              <w:rPr>
                <w:rFonts w:cs="Arial"/>
              </w:rPr>
            </w:pPr>
            <w:r w:rsidRPr="2AD8D8AA">
              <w:rPr>
                <w:rFonts w:cs="Arial"/>
              </w:rPr>
              <w:t>The Act also allows local government to exempt a public charity from water supply special rates and sewage special rates.</w:t>
            </w:r>
          </w:p>
        </w:tc>
      </w:tr>
      <w:tr w:rsidR="008C3AFE" w:rsidRPr="005C20E9" w14:paraId="0E0DEC5D" w14:textId="77777777" w:rsidTr="2AD8D8AA">
        <w:trPr>
          <w:trHeight w:val="494"/>
        </w:trPr>
        <w:tc>
          <w:tcPr>
            <w:tcW w:w="1980" w:type="dxa"/>
          </w:tcPr>
          <w:p w14:paraId="6A4B2033" w14:textId="77777777" w:rsidR="008C3AFE" w:rsidRPr="0081240C" w:rsidRDefault="2AD8D8AA" w:rsidP="2AD8D8AA">
            <w:pPr>
              <w:spacing w:before="0" w:after="120" w:line="276" w:lineRule="auto"/>
              <w:jc w:val="both"/>
              <w:rPr>
                <w:rFonts w:cs="Arial"/>
              </w:rPr>
            </w:pPr>
            <w:r w:rsidRPr="2AD8D8AA">
              <w:rPr>
                <w:rFonts w:cs="Arial"/>
              </w:rPr>
              <w:t xml:space="preserve">Victoria </w:t>
            </w:r>
          </w:p>
        </w:tc>
        <w:tc>
          <w:tcPr>
            <w:tcW w:w="6951" w:type="dxa"/>
          </w:tcPr>
          <w:p w14:paraId="5F1F31C5" w14:textId="1E9C841E"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 xml:space="preserve">The Victorian </w:t>
            </w:r>
            <w:r w:rsidRPr="2AD8D8AA">
              <w:rPr>
                <w:rFonts w:cs="Arial"/>
                <w:i/>
                <w:iCs/>
              </w:rPr>
              <w:t>Local Government Act 1989</w:t>
            </w:r>
            <w:r w:rsidRPr="2AD8D8AA">
              <w:rPr>
                <w:rFonts w:cs="Arial"/>
              </w:rPr>
              <w:t xml:space="preserve"> provides for a rate exemption for land used exclusively for charitable purposes.</w:t>
            </w:r>
          </w:p>
          <w:p w14:paraId="4AC54C53"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A proposed amendment clarifies that any part of land is not used exclusively for charitable purposes if it used as a residence.</w:t>
            </w:r>
          </w:p>
        </w:tc>
      </w:tr>
      <w:tr w:rsidR="008C3AFE" w:rsidRPr="005C20E9" w14:paraId="735DC76D" w14:textId="77777777" w:rsidTr="2AD8D8AA">
        <w:trPr>
          <w:trHeight w:val="494"/>
        </w:trPr>
        <w:tc>
          <w:tcPr>
            <w:tcW w:w="1980" w:type="dxa"/>
          </w:tcPr>
          <w:p w14:paraId="473167F4" w14:textId="77777777" w:rsidR="008C3AFE" w:rsidRPr="0081240C" w:rsidRDefault="2AD8D8AA" w:rsidP="2AD8D8AA">
            <w:pPr>
              <w:spacing w:before="0" w:after="120" w:line="276" w:lineRule="auto"/>
              <w:jc w:val="both"/>
              <w:rPr>
                <w:rFonts w:cs="Arial"/>
              </w:rPr>
            </w:pPr>
            <w:r w:rsidRPr="2AD8D8AA">
              <w:rPr>
                <w:rFonts w:cs="Arial"/>
              </w:rPr>
              <w:t>Queensland</w:t>
            </w:r>
          </w:p>
        </w:tc>
        <w:tc>
          <w:tcPr>
            <w:tcW w:w="6951" w:type="dxa"/>
          </w:tcPr>
          <w:p w14:paraId="4D6DD002"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Mandatory and discretionary categories for rating exemption based on charitable purpose.</w:t>
            </w:r>
          </w:p>
          <w:p w14:paraId="08D1CACD"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Local governments have discretion to determine if land should be exempted because it is used for charitable purposes.</w:t>
            </w:r>
          </w:p>
        </w:tc>
      </w:tr>
      <w:tr w:rsidR="008C3AFE" w:rsidRPr="005C20E9" w14:paraId="3B464FBE" w14:textId="77777777" w:rsidTr="2AD8D8AA">
        <w:trPr>
          <w:trHeight w:val="494"/>
        </w:trPr>
        <w:tc>
          <w:tcPr>
            <w:tcW w:w="1980" w:type="dxa"/>
          </w:tcPr>
          <w:p w14:paraId="6FB8A033" w14:textId="77777777" w:rsidR="008C3AFE" w:rsidRPr="0081240C" w:rsidRDefault="2AD8D8AA" w:rsidP="2AD8D8AA">
            <w:pPr>
              <w:spacing w:before="0" w:after="120" w:line="276" w:lineRule="auto"/>
              <w:jc w:val="both"/>
              <w:rPr>
                <w:rFonts w:cs="Arial"/>
              </w:rPr>
            </w:pPr>
            <w:r w:rsidRPr="2AD8D8AA">
              <w:rPr>
                <w:rFonts w:cs="Arial"/>
              </w:rPr>
              <w:t>South Australia</w:t>
            </w:r>
          </w:p>
        </w:tc>
        <w:tc>
          <w:tcPr>
            <w:tcW w:w="6951" w:type="dxa"/>
          </w:tcPr>
          <w:p w14:paraId="18E6AB42"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Mandatory and discretionary categories for rating exemption based on charitable purpose</w:t>
            </w:r>
          </w:p>
          <w:p w14:paraId="6444B7A6"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 xml:space="preserve">75% rebate for community service organisations that are not-for-profit for benefit of public and provide a community service without charge or below cost. </w:t>
            </w:r>
          </w:p>
        </w:tc>
      </w:tr>
      <w:tr w:rsidR="008C3AFE" w:rsidRPr="005C20E9" w14:paraId="24323CE7" w14:textId="77777777" w:rsidTr="2AD8D8AA">
        <w:trPr>
          <w:trHeight w:val="494"/>
        </w:trPr>
        <w:tc>
          <w:tcPr>
            <w:tcW w:w="1980" w:type="dxa"/>
          </w:tcPr>
          <w:p w14:paraId="136E1035" w14:textId="77777777" w:rsidR="008C3AFE" w:rsidRPr="0081240C" w:rsidRDefault="2AD8D8AA" w:rsidP="2AD8D8AA">
            <w:pPr>
              <w:spacing w:before="0" w:after="120" w:line="276" w:lineRule="auto"/>
              <w:jc w:val="both"/>
              <w:rPr>
                <w:rFonts w:cs="Arial"/>
              </w:rPr>
            </w:pPr>
            <w:r w:rsidRPr="2AD8D8AA">
              <w:rPr>
                <w:rFonts w:cs="Arial"/>
              </w:rPr>
              <w:t>Tasmania</w:t>
            </w:r>
          </w:p>
        </w:tc>
        <w:tc>
          <w:tcPr>
            <w:tcW w:w="6951" w:type="dxa"/>
          </w:tcPr>
          <w:p w14:paraId="00706F1D"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An exemption for land or part of land owned and occupied exclusively for charitable purposes.</w:t>
            </w:r>
          </w:p>
          <w:p w14:paraId="7463654D"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 xml:space="preserve">The inclusion of the clause ‘owned and occupied exclusively’ means that occupation rather than use is the key determinant.  </w:t>
            </w:r>
          </w:p>
        </w:tc>
      </w:tr>
      <w:tr w:rsidR="008C3AFE" w:rsidRPr="005C20E9" w14:paraId="4DB1734E" w14:textId="77777777" w:rsidTr="2AD8D8AA">
        <w:trPr>
          <w:trHeight w:val="494"/>
        </w:trPr>
        <w:tc>
          <w:tcPr>
            <w:tcW w:w="1980" w:type="dxa"/>
          </w:tcPr>
          <w:p w14:paraId="36572796" w14:textId="77777777" w:rsidR="008C3AFE" w:rsidRPr="0081240C" w:rsidRDefault="2AD8D8AA" w:rsidP="2AD8D8AA">
            <w:pPr>
              <w:spacing w:before="0" w:after="120" w:line="276" w:lineRule="auto"/>
              <w:jc w:val="both"/>
              <w:rPr>
                <w:rFonts w:cs="Arial"/>
              </w:rPr>
            </w:pPr>
            <w:r w:rsidRPr="2AD8D8AA">
              <w:rPr>
                <w:rFonts w:cs="Arial"/>
              </w:rPr>
              <w:t>Northern Territory</w:t>
            </w:r>
          </w:p>
        </w:tc>
        <w:tc>
          <w:tcPr>
            <w:tcW w:w="6951" w:type="dxa"/>
          </w:tcPr>
          <w:p w14:paraId="48966BC6" w14:textId="77777777" w:rsidR="008C3AFE" w:rsidRPr="0081240C" w:rsidRDefault="2AD8D8AA" w:rsidP="2AD8D8AA">
            <w:pPr>
              <w:pStyle w:val="ListParagraph"/>
              <w:numPr>
                <w:ilvl w:val="0"/>
                <w:numId w:val="17"/>
              </w:numPr>
              <w:spacing w:before="0" w:after="120" w:line="276" w:lineRule="auto"/>
              <w:ind w:left="322"/>
              <w:jc w:val="both"/>
              <w:rPr>
                <w:rFonts w:cs="Arial"/>
              </w:rPr>
            </w:pPr>
            <w:r w:rsidRPr="2AD8D8AA">
              <w:rPr>
                <w:rFonts w:cs="Arial"/>
              </w:rPr>
              <w:t>Land is exempt from rates if the land is used for a non-commercial purpose by a public benevolent institution or a public charity</w:t>
            </w:r>
          </w:p>
        </w:tc>
      </w:tr>
    </w:tbl>
    <w:p w14:paraId="2BA15227" w14:textId="77777777" w:rsidR="008C3AFE" w:rsidRPr="005C20E9" w:rsidRDefault="008C3AFE" w:rsidP="008C3AFE">
      <w:pPr>
        <w:spacing w:after="120" w:line="276" w:lineRule="auto"/>
        <w:jc w:val="both"/>
        <w:rPr>
          <w:rFonts w:ascii="Arial" w:hAnsi="Arial" w:cs="Arial"/>
        </w:rPr>
      </w:pPr>
    </w:p>
    <w:p w14:paraId="66D95B56" w14:textId="77777777" w:rsidR="008C3AFE" w:rsidRPr="009E68C2" w:rsidRDefault="2AD8D8AA" w:rsidP="2AD8D8AA">
      <w:pPr>
        <w:pStyle w:val="Heading2"/>
        <w:spacing w:before="0" w:after="120" w:line="276" w:lineRule="auto"/>
        <w:rPr>
          <w:rFonts w:ascii="Arial" w:hAnsi="Arial" w:cs="Arial"/>
          <w:color w:val="595959" w:themeColor="text1" w:themeTint="A6"/>
          <w:sz w:val="28"/>
          <w:szCs w:val="28"/>
        </w:rPr>
      </w:pPr>
      <w:bookmarkStart w:id="30" w:name="_Toc520738742"/>
      <w:r w:rsidRPr="2AD8D8AA">
        <w:rPr>
          <w:rFonts w:ascii="Arial" w:hAnsi="Arial" w:cs="Arial"/>
          <w:color w:val="595959" w:themeColor="text1" w:themeTint="A6"/>
          <w:sz w:val="28"/>
          <w:szCs w:val="28"/>
        </w:rPr>
        <w:t>What are the options for reform?</w:t>
      </w:r>
      <w:bookmarkEnd w:id="30"/>
    </w:p>
    <w:p w14:paraId="3B91E2C9"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Reforms to the charitable organisation exemptions hinge on clarifying who is or isn’t eligible to receive a rates exemption.</w:t>
      </w:r>
    </w:p>
    <w:tbl>
      <w:tblPr>
        <w:tblStyle w:val="TableGrid"/>
        <w:tblW w:w="0" w:type="auto"/>
        <w:tblLook w:val="04A0" w:firstRow="1" w:lastRow="0" w:firstColumn="1" w:lastColumn="0" w:noHBand="0" w:noVBand="1"/>
      </w:tblPr>
      <w:tblGrid>
        <w:gridCol w:w="2689"/>
        <w:gridCol w:w="3260"/>
        <w:gridCol w:w="2977"/>
      </w:tblGrid>
      <w:tr w:rsidR="00A964A0" w:rsidRPr="005C20E9" w14:paraId="518760F8" w14:textId="77777777" w:rsidTr="2AD8D8AA">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C0311A"/>
          </w:tcPr>
          <w:p w14:paraId="70FB9F3B" w14:textId="77777777" w:rsidR="00A964A0" w:rsidRPr="00C6346C" w:rsidRDefault="2AD8D8AA" w:rsidP="2AD8D8AA">
            <w:pPr>
              <w:spacing w:before="0" w:after="120" w:line="276" w:lineRule="auto"/>
              <w:ind w:left="0"/>
              <w:rPr>
                <w:rFonts w:cs="Arial"/>
                <w:color w:val="FFFFFF" w:themeColor="background1"/>
              </w:rPr>
            </w:pPr>
            <w:r w:rsidRPr="2AD8D8AA">
              <w:rPr>
                <w:rFonts w:cs="Arial"/>
                <w:color w:val="FFFFFF" w:themeColor="background1"/>
              </w:rPr>
              <w:lastRenderedPageBreak/>
              <w:t>Commercial not exempt</w:t>
            </w:r>
          </w:p>
        </w:tc>
        <w:tc>
          <w:tcPr>
            <w:tcW w:w="3260" w:type="dxa"/>
            <w:shd w:val="clear" w:color="auto" w:fill="C0311A"/>
          </w:tcPr>
          <w:p w14:paraId="00188D74" w14:textId="77777777" w:rsidR="00A964A0" w:rsidRPr="00C6346C" w:rsidRDefault="2AD8D8AA" w:rsidP="2AD8D8AA">
            <w:pPr>
              <w:spacing w:before="0" w:after="120" w:line="276" w:lineRule="auto"/>
              <w:ind w:left="0"/>
              <w:rPr>
                <w:rFonts w:cs="Arial"/>
                <w:color w:val="FFFFFF" w:themeColor="background1"/>
              </w:rPr>
            </w:pPr>
            <w:r w:rsidRPr="2AD8D8AA">
              <w:rPr>
                <w:rFonts w:cs="Arial"/>
                <w:color w:val="FFFFFF" w:themeColor="background1"/>
              </w:rPr>
              <w:t>Qualified under Commonwealth legislation</w:t>
            </w:r>
          </w:p>
        </w:tc>
        <w:tc>
          <w:tcPr>
            <w:tcW w:w="2977" w:type="dxa"/>
            <w:shd w:val="clear" w:color="auto" w:fill="C0311A"/>
          </w:tcPr>
          <w:p w14:paraId="48F747B9" w14:textId="77777777" w:rsidR="00A964A0" w:rsidRPr="00C6346C" w:rsidRDefault="2AD8D8AA" w:rsidP="2AD8D8AA">
            <w:pPr>
              <w:spacing w:before="0" w:after="120" w:line="276" w:lineRule="auto"/>
              <w:ind w:left="0"/>
              <w:rPr>
                <w:rFonts w:cs="Arial"/>
                <w:color w:val="FFFFFF" w:themeColor="background1"/>
              </w:rPr>
            </w:pPr>
            <w:r w:rsidRPr="2AD8D8AA">
              <w:rPr>
                <w:rFonts w:cs="Arial"/>
                <w:color w:val="FFFFFF" w:themeColor="background1"/>
              </w:rPr>
              <w:t>Land not used as a residence</w:t>
            </w:r>
          </w:p>
        </w:tc>
      </w:tr>
      <w:tr w:rsidR="00A964A0" w:rsidRPr="005C20E9" w14:paraId="76D7047D" w14:textId="77777777" w:rsidTr="2AD8D8AA">
        <w:tc>
          <w:tcPr>
            <w:tcW w:w="2689" w:type="dxa"/>
          </w:tcPr>
          <w:p w14:paraId="7F458A7E" w14:textId="7B0EEADA" w:rsidR="00A964A0" w:rsidRPr="00C6346C" w:rsidRDefault="2AD8D8AA" w:rsidP="2AD8D8AA">
            <w:pPr>
              <w:spacing w:before="0" w:after="120" w:line="276" w:lineRule="auto"/>
              <w:ind w:left="0"/>
              <w:rPr>
                <w:rFonts w:cs="Arial"/>
              </w:rPr>
            </w:pPr>
            <w:r w:rsidRPr="2AD8D8AA">
              <w:rPr>
                <w:rFonts w:cs="Arial"/>
              </w:rPr>
              <w:t>Exemptions do not apply to commercial (non-charitable) business activities.</w:t>
            </w:r>
          </w:p>
        </w:tc>
        <w:tc>
          <w:tcPr>
            <w:tcW w:w="3260" w:type="dxa"/>
          </w:tcPr>
          <w:p w14:paraId="29DEF1D8" w14:textId="48093935" w:rsidR="00A964A0" w:rsidRPr="00C6346C" w:rsidRDefault="2AD8D8AA" w:rsidP="2AD8D8AA">
            <w:pPr>
              <w:spacing w:before="0" w:after="120" w:line="276" w:lineRule="auto"/>
              <w:ind w:left="0"/>
              <w:rPr>
                <w:rFonts w:cs="Arial"/>
                <w:i/>
                <w:iCs/>
              </w:rPr>
            </w:pPr>
            <w:r w:rsidRPr="2AD8D8AA">
              <w:rPr>
                <w:rFonts w:cs="Arial"/>
              </w:rPr>
              <w:t xml:space="preserve">Certain categories of ratepayers, for example Independent Living Units, would only be exempt from rates where they qualify under the </w:t>
            </w:r>
            <w:r w:rsidRPr="2AD8D8AA">
              <w:rPr>
                <w:rFonts w:cs="Arial"/>
                <w:i/>
                <w:iCs/>
              </w:rPr>
              <w:t>Commonwealth Aged Care Act 1997.</w:t>
            </w:r>
          </w:p>
        </w:tc>
        <w:tc>
          <w:tcPr>
            <w:tcW w:w="2977" w:type="dxa"/>
          </w:tcPr>
          <w:p w14:paraId="68F0BEDD" w14:textId="77777777" w:rsidR="00A964A0" w:rsidRPr="00C6346C" w:rsidRDefault="2AD8D8AA" w:rsidP="2AD8D8AA">
            <w:pPr>
              <w:spacing w:before="0" w:after="120" w:line="276" w:lineRule="auto"/>
              <w:ind w:left="0"/>
              <w:rPr>
                <w:rFonts w:cs="Arial"/>
              </w:rPr>
            </w:pPr>
            <w:r w:rsidRPr="2AD8D8AA">
              <w:rPr>
                <w:rFonts w:cs="Arial"/>
              </w:rPr>
              <w:t>Clarify that land is not used exclusively for charitable purposes if the land is used as a residence and is exclusively occupied by persons, including a caretaker.</w:t>
            </w:r>
          </w:p>
        </w:tc>
      </w:tr>
    </w:tbl>
    <w:p w14:paraId="31D4384E" w14:textId="77777777" w:rsidR="008C3AFE" w:rsidRPr="005C20E9" w:rsidRDefault="008C3AFE" w:rsidP="008C3AFE">
      <w:pPr>
        <w:spacing w:after="120" w:line="276" w:lineRule="auto"/>
        <w:jc w:val="both"/>
        <w:rPr>
          <w:rFonts w:ascii="Arial" w:hAnsi="Arial" w:cs="Arial"/>
        </w:rPr>
      </w:pPr>
    </w:p>
    <w:p w14:paraId="56999366" w14:textId="77777777" w:rsidR="008C3AFE" w:rsidRPr="005C20E9" w:rsidRDefault="2AD8D8AA" w:rsidP="2AD8D8AA">
      <w:pPr>
        <w:pStyle w:val="Heading1"/>
        <w:spacing w:before="0" w:after="120" w:line="276" w:lineRule="auto"/>
        <w:rPr>
          <w:rFonts w:ascii="Arial" w:hAnsi="Arial" w:cs="Arial"/>
          <w:color w:val="C00000"/>
        </w:rPr>
      </w:pPr>
      <w:bookmarkStart w:id="31" w:name="_Toc520738743"/>
      <w:r w:rsidRPr="2AD8D8AA">
        <w:rPr>
          <w:rFonts w:ascii="Arial" w:hAnsi="Arial" w:cs="Arial"/>
          <w:color w:val="C00000"/>
        </w:rPr>
        <w:t>Fees and Charges</w:t>
      </w:r>
      <w:bookmarkEnd w:id="31"/>
    </w:p>
    <w:p w14:paraId="5CB8A385"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Local governments have the ability to set fees and charges for a range of services. Services can be categorised into three areas:</w:t>
      </w:r>
    </w:p>
    <w:p w14:paraId="3265FBA3" w14:textId="432BA37B" w:rsidR="008C3AFE" w:rsidRPr="009E68C2" w:rsidRDefault="2AD8D8AA" w:rsidP="2AD8D8AA">
      <w:pPr>
        <w:pStyle w:val="ListParagraph"/>
        <w:numPr>
          <w:ilvl w:val="0"/>
          <w:numId w:val="17"/>
        </w:numPr>
        <w:spacing w:after="120" w:line="276" w:lineRule="auto"/>
        <w:ind w:left="851" w:hanging="284"/>
        <w:jc w:val="both"/>
        <w:rPr>
          <w:rFonts w:ascii="Arial" w:hAnsi="Arial" w:cs="Arial"/>
          <w:sz w:val="24"/>
          <w:szCs w:val="24"/>
        </w:rPr>
      </w:pPr>
      <w:r w:rsidRPr="2AD8D8AA">
        <w:rPr>
          <w:rFonts w:ascii="Arial" w:hAnsi="Arial" w:cs="Arial"/>
          <w:sz w:val="24"/>
          <w:szCs w:val="24"/>
        </w:rPr>
        <w:t>Basic community services, such as waste collection;</w:t>
      </w:r>
    </w:p>
    <w:p w14:paraId="0D735949" w14:textId="17F10C2B" w:rsidR="008C3AFE" w:rsidRPr="009E68C2" w:rsidRDefault="2AD8D8AA" w:rsidP="2AD8D8AA">
      <w:pPr>
        <w:pStyle w:val="ListParagraph"/>
        <w:numPr>
          <w:ilvl w:val="0"/>
          <w:numId w:val="17"/>
        </w:numPr>
        <w:spacing w:after="120" w:line="276" w:lineRule="auto"/>
        <w:ind w:left="851" w:hanging="284"/>
        <w:jc w:val="both"/>
        <w:rPr>
          <w:rFonts w:ascii="Arial" w:hAnsi="Arial" w:cs="Arial"/>
          <w:sz w:val="24"/>
          <w:szCs w:val="24"/>
        </w:rPr>
      </w:pPr>
      <w:r w:rsidRPr="2AD8D8AA">
        <w:rPr>
          <w:rFonts w:ascii="Arial" w:hAnsi="Arial" w:cs="Arial"/>
          <w:sz w:val="24"/>
          <w:szCs w:val="24"/>
        </w:rPr>
        <w:t>Additional services, such as providing security; and</w:t>
      </w:r>
    </w:p>
    <w:p w14:paraId="1D34FA6C" w14:textId="0AFE3A1B" w:rsidR="008C3AFE" w:rsidRPr="009E68C2" w:rsidRDefault="2AD8D8AA" w:rsidP="2AD8D8AA">
      <w:pPr>
        <w:pStyle w:val="ListParagraph"/>
        <w:numPr>
          <w:ilvl w:val="0"/>
          <w:numId w:val="17"/>
        </w:numPr>
        <w:spacing w:after="120" w:line="276" w:lineRule="auto"/>
        <w:ind w:left="851" w:hanging="284"/>
        <w:jc w:val="both"/>
        <w:rPr>
          <w:rFonts w:ascii="Arial" w:hAnsi="Arial" w:cs="Arial"/>
          <w:sz w:val="24"/>
          <w:szCs w:val="24"/>
        </w:rPr>
      </w:pPr>
      <w:r w:rsidRPr="2AD8D8AA">
        <w:rPr>
          <w:rFonts w:ascii="Arial" w:hAnsi="Arial" w:cs="Arial"/>
          <w:sz w:val="24"/>
          <w:szCs w:val="24"/>
        </w:rPr>
        <w:t>Competitive services, such as services provided by other business in the area (for example gymnasiums).</w:t>
      </w:r>
    </w:p>
    <w:p w14:paraId="1477BDDB"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When setting fees and charges for basic and additional services, local governments should consider the cost of providing the service but may decide to subsidise the service for the common good. When it comes to competitive services, competitive neutrality principles must be observed. This requires local governments to avoid a competitive advantage as a result of being part of the public sector. </w:t>
      </w:r>
    </w:p>
    <w:p w14:paraId="50BB2C03"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Other fees and charges are set in legislation, for example registration fees for dogs and cats.</w:t>
      </w:r>
    </w:p>
    <w:p w14:paraId="3794446F" w14:textId="77777777" w:rsidR="008C3AFE" w:rsidRPr="009E68C2" w:rsidRDefault="2AD8D8AA" w:rsidP="2AD8D8AA">
      <w:pPr>
        <w:pStyle w:val="Heading2"/>
        <w:spacing w:before="0" w:after="120" w:line="276" w:lineRule="auto"/>
        <w:jc w:val="both"/>
        <w:rPr>
          <w:rFonts w:ascii="Arial" w:hAnsi="Arial" w:cs="Arial"/>
          <w:color w:val="595959" w:themeColor="text1" w:themeTint="A6"/>
          <w:sz w:val="28"/>
          <w:szCs w:val="28"/>
        </w:rPr>
      </w:pPr>
      <w:bookmarkStart w:id="32" w:name="_Toc520738744"/>
      <w:r w:rsidRPr="2AD8D8AA">
        <w:rPr>
          <w:rFonts w:ascii="Arial" w:hAnsi="Arial" w:cs="Arial"/>
          <w:color w:val="595959" w:themeColor="text1" w:themeTint="A6"/>
          <w:sz w:val="28"/>
          <w:szCs w:val="28"/>
        </w:rPr>
        <w:t>What are the options for reform?</w:t>
      </w:r>
      <w:bookmarkEnd w:id="32"/>
    </w:p>
    <w:p w14:paraId="4E122BE4" w14:textId="77777777" w:rsidR="008C3AFE" w:rsidRPr="009E68C2" w:rsidRDefault="2AD8D8AA" w:rsidP="2AD8D8AA">
      <w:pPr>
        <w:spacing w:after="120" w:line="276" w:lineRule="auto"/>
        <w:jc w:val="both"/>
        <w:rPr>
          <w:rFonts w:ascii="Arial" w:hAnsi="Arial" w:cs="Arial"/>
          <w:b/>
          <w:bCs/>
          <w:color w:val="C00000"/>
          <w:sz w:val="24"/>
          <w:szCs w:val="24"/>
        </w:rPr>
      </w:pPr>
      <w:bookmarkStart w:id="33" w:name="_Toc520738745"/>
      <w:r w:rsidRPr="2AD8D8AA">
        <w:rPr>
          <w:rFonts w:ascii="Arial" w:hAnsi="Arial" w:cs="Arial"/>
          <w:b/>
          <w:bCs/>
          <w:color w:val="C00000"/>
          <w:sz w:val="24"/>
          <w:szCs w:val="24"/>
        </w:rPr>
        <w:t>Annual rate charges</w:t>
      </w:r>
      <w:bookmarkEnd w:id="33"/>
    </w:p>
    <w:p w14:paraId="2A2AB44E"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At the time of issuing a rates notice, local governments can impose a uniform or differential rate, a minimum payment, specified area rate or service charges.</w:t>
      </w:r>
    </w:p>
    <w:p w14:paraId="4353CC15" w14:textId="79E06975"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In other States, a range of other charges can also be imposed. Under Victorian legislation, local governments can impose a municipal charge to cover some administrative costs. In Tasmania, local governments can impose a separate rate or charge for the purpose of planning, carrying out, making available, maintaining or improving anything.</w:t>
      </w:r>
    </w:p>
    <w:p w14:paraId="00C920DE"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To increase transparency and accountability, the Act could be amended to allow local governments to impose a levy on all ratepayers to fund a particular service, facility or activity that benefits the entire community. </w:t>
      </w:r>
    </w:p>
    <w:p w14:paraId="3EFE92F4" w14:textId="77777777" w:rsidR="008C3AFE" w:rsidRPr="009E68C2" w:rsidRDefault="2AD8D8AA" w:rsidP="2AD8D8AA">
      <w:pPr>
        <w:spacing w:after="120" w:line="276" w:lineRule="auto"/>
        <w:jc w:val="both"/>
        <w:rPr>
          <w:rFonts w:ascii="Arial" w:hAnsi="Arial" w:cs="Arial"/>
          <w:sz w:val="24"/>
          <w:szCs w:val="24"/>
        </w:rPr>
      </w:pPr>
      <w:r w:rsidRPr="2AD8D8AA">
        <w:rPr>
          <w:rFonts w:ascii="Arial" w:hAnsi="Arial" w:cs="Arial"/>
          <w:sz w:val="24"/>
          <w:szCs w:val="24"/>
        </w:rPr>
        <w:lastRenderedPageBreak/>
        <w:t xml:space="preserve">A simple and transparent approach could be to provide a model similar to Tasmania whereby the general rate consists of two components: the rate based on the valuation and a fixed charge. </w:t>
      </w:r>
    </w:p>
    <w:p w14:paraId="47587E39" w14:textId="77777777" w:rsidR="008C3AFE" w:rsidRPr="009E68C2" w:rsidRDefault="2AD8D8AA" w:rsidP="2AD8D8AA">
      <w:pPr>
        <w:keepNext/>
        <w:keepLines/>
        <w:spacing w:after="120" w:line="276" w:lineRule="auto"/>
        <w:jc w:val="both"/>
        <w:rPr>
          <w:rFonts w:ascii="Arial" w:hAnsi="Arial" w:cs="Arial"/>
          <w:b/>
          <w:bCs/>
          <w:color w:val="C00000"/>
          <w:sz w:val="24"/>
          <w:szCs w:val="24"/>
        </w:rPr>
      </w:pPr>
      <w:bookmarkStart w:id="34" w:name="_Toc520738746"/>
      <w:r w:rsidRPr="2AD8D8AA">
        <w:rPr>
          <w:rFonts w:ascii="Arial" w:hAnsi="Arial" w:cs="Arial"/>
          <w:b/>
          <w:bCs/>
          <w:color w:val="C00000"/>
          <w:sz w:val="24"/>
          <w:szCs w:val="24"/>
        </w:rPr>
        <w:t>Cost recovery fees and charges</w:t>
      </w:r>
      <w:bookmarkEnd w:id="34"/>
    </w:p>
    <w:p w14:paraId="28EF1F02" w14:textId="68C03EA1" w:rsidR="008C3AFE" w:rsidRPr="009E68C2" w:rsidRDefault="2AD8D8AA" w:rsidP="2AD8D8AA">
      <w:pPr>
        <w:keepNext/>
        <w:keepLines/>
        <w:spacing w:after="120" w:line="276" w:lineRule="auto"/>
        <w:jc w:val="both"/>
        <w:rPr>
          <w:rFonts w:ascii="Arial" w:hAnsi="Arial" w:cs="Arial"/>
          <w:sz w:val="24"/>
          <w:szCs w:val="24"/>
        </w:rPr>
      </w:pPr>
      <w:r w:rsidRPr="2AD8D8AA">
        <w:rPr>
          <w:rFonts w:ascii="Arial" w:hAnsi="Arial" w:cs="Arial"/>
          <w:sz w:val="24"/>
          <w:szCs w:val="24"/>
        </w:rPr>
        <w:t>Some States require local governments to develop and publish a Rates and Revenue Strategy. The Strategy includes a schedule of fees and charges set by local governments, including the methodology where the fees are set at cost recovery.</w:t>
      </w:r>
    </w:p>
    <w:p w14:paraId="78856272" w14:textId="27EE9665" w:rsidR="008C3AFE" w:rsidRDefault="2AD8D8AA" w:rsidP="2AD8D8AA">
      <w:pPr>
        <w:spacing w:after="120" w:line="276" w:lineRule="auto"/>
        <w:jc w:val="both"/>
        <w:rPr>
          <w:rFonts w:ascii="Arial" w:hAnsi="Arial" w:cs="Arial"/>
          <w:sz w:val="24"/>
          <w:szCs w:val="24"/>
        </w:rPr>
      </w:pPr>
      <w:r w:rsidRPr="2AD8D8AA">
        <w:rPr>
          <w:rFonts w:ascii="Arial" w:hAnsi="Arial" w:cs="Arial"/>
          <w:sz w:val="24"/>
          <w:szCs w:val="24"/>
        </w:rPr>
        <w:t xml:space="preserve">Currently, fees and charges are set during the annual budget process. By moving the setting of fees from the annual budget process and combining it into the Rates and Revenue Strategy (discussed above), the methodology for cost recovery of fees could be included. This would make it more transparent for ratepayers. </w:t>
      </w:r>
    </w:p>
    <w:p w14:paraId="070C72BE" w14:textId="77777777" w:rsidR="00386848" w:rsidRPr="009E68C2" w:rsidRDefault="00386848" w:rsidP="2AD8D8AA">
      <w:pPr>
        <w:spacing w:after="120" w:line="276" w:lineRule="auto"/>
        <w:jc w:val="both"/>
        <w:rPr>
          <w:rFonts w:ascii="Arial" w:hAnsi="Arial" w:cs="Arial"/>
          <w:sz w:val="24"/>
          <w:szCs w:val="24"/>
        </w:rPr>
      </w:pPr>
      <w:bookmarkStart w:id="35" w:name="_GoBack"/>
      <w:bookmarkEnd w:id="35"/>
    </w:p>
    <w:p w14:paraId="3DEF52EA" w14:textId="3D4FA18C" w:rsidR="008C3AFE" w:rsidRDefault="2AD8D8AA" w:rsidP="2AD8D8AA">
      <w:pPr>
        <w:pStyle w:val="Heading1"/>
        <w:rPr>
          <w:rFonts w:ascii="Arial" w:hAnsi="Arial" w:cs="Arial"/>
          <w:color w:val="C0311A"/>
        </w:rPr>
      </w:pPr>
      <w:r w:rsidRPr="2AD8D8AA">
        <w:rPr>
          <w:rFonts w:ascii="Arial" w:hAnsi="Arial" w:cs="Arial"/>
          <w:color w:val="C0311A"/>
        </w:rPr>
        <w:t>What do you think?</w:t>
      </w:r>
    </w:p>
    <w:p w14:paraId="098EFCC3" w14:textId="682B45F3" w:rsidR="00EC3FEC" w:rsidRPr="009E68C2" w:rsidRDefault="2AD8D8AA" w:rsidP="2AD8D8AA">
      <w:pPr>
        <w:jc w:val="both"/>
        <w:rPr>
          <w:rFonts w:ascii="Arial" w:hAnsi="Arial" w:cs="Arial"/>
          <w:sz w:val="24"/>
          <w:szCs w:val="24"/>
        </w:rPr>
      </w:pPr>
      <w:bookmarkStart w:id="36" w:name="_Hlk523308458"/>
      <w:r w:rsidRPr="2AD8D8AA">
        <w:rPr>
          <w:rFonts w:ascii="Arial" w:hAnsi="Arial" w:cs="Arial"/>
          <w:sz w:val="24"/>
          <w:szCs w:val="24"/>
        </w:rPr>
        <w:t xml:space="preserve">The easiest way to have a say on the future of your community is to complete the survey available </w:t>
      </w:r>
      <w:hyperlink r:id="rId12">
        <w:r w:rsidRPr="2AD8D8AA">
          <w:rPr>
            <w:rStyle w:val="Hyperlink"/>
            <w:rFonts w:cs="Arial"/>
          </w:rPr>
          <w:t>here</w:t>
        </w:r>
      </w:hyperlink>
      <w:r w:rsidRPr="2AD8D8AA">
        <w:rPr>
          <w:rFonts w:ascii="Arial" w:hAnsi="Arial" w:cs="Arial"/>
          <w:sz w:val="24"/>
          <w:szCs w:val="24"/>
        </w:rPr>
        <w:t>.</w:t>
      </w:r>
    </w:p>
    <w:p w14:paraId="4D836895" w14:textId="77777777" w:rsidR="00EC3FEC" w:rsidRPr="009E68C2" w:rsidRDefault="2AD8D8AA" w:rsidP="2AD8D8AA">
      <w:pPr>
        <w:jc w:val="both"/>
        <w:rPr>
          <w:rFonts w:ascii="Arial" w:hAnsi="Arial" w:cs="Arial"/>
          <w:sz w:val="24"/>
          <w:szCs w:val="24"/>
        </w:rPr>
      </w:pPr>
      <w:r w:rsidRPr="2AD8D8AA">
        <w:rPr>
          <w:rFonts w:ascii="Arial" w:hAnsi="Arial" w:cs="Arial"/>
          <w:sz w:val="24"/>
          <w:szCs w:val="24"/>
        </w:rPr>
        <w:t xml:space="preserve">Your responses to this survey will inform the review and will take approximately 10 minutes to complete. </w:t>
      </w:r>
    </w:p>
    <w:p w14:paraId="6923C531" w14:textId="2FD789EF" w:rsidR="002F3D7C" w:rsidRPr="00180B74" w:rsidRDefault="2AD8D8AA" w:rsidP="2AD8D8AA">
      <w:pPr>
        <w:jc w:val="both"/>
        <w:rPr>
          <w:rFonts w:ascii="Arial" w:hAnsi="Arial" w:cs="Arial"/>
          <w:sz w:val="24"/>
          <w:szCs w:val="24"/>
        </w:rPr>
      </w:pPr>
      <w:r w:rsidRPr="2AD8D8AA">
        <w:rPr>
          <w:rFonts w:ascii="Arial" w:hAnsi="Arial" w:cs="Arial"/>
          <w:sz w:val="24"/>
          <w:szCs w:val="24"/>
        </w:rPr>
        <w:t xml:space="preserve">We ask that you take care in completing a survey. While you may lodge multiple written submissions via email at </w:t>
      </w:r>
      <w:hyperlink r:id="rId13">
        <w:r w:rsidRPr="2AD8D8AA">
          <w:rPr>
            <w:rStyle w:val="Hyperlink"/>
            <w:rFonts w:cs="Arial"/>
          </w:rPr>
          <w:t>actreview@dlgsc.wa.gov.au</w:t>
        </w:r>
      </w:hyperlink>
      <w:r w:rsidRPr="2AD8D8AA">
        <w:rPr>
          <w:rFonts w:ascii="Arial" w:hAnsi="Arial" w:cs="Arial"/>
          <w:sz w:val="24"/>
          <w:szCs w:val="24"/>
        </w:rPr>
        <w:t>, you will only be able to complete each online topic survey once.</w:t>
      </w:r>
    </w:p>
    <w:p w14:paraId="51E7129A" w14:textId="397B8515" w:rsidR="00EC3FEC" w:rsidRPr="009E68C2" w:rsidRDefault="2AD8D8AA" w:rsidP="2AD8D8AA">
      <w:pPr>
        <w:jc w:val="both"/>
        <w:rPr>
          <w:rFonts w:ascii="Arial" w:hAnsi="Arial" w:cs="Arial"/>
          <w:sz w:val="24"/>
          <w:szCs w:val="24"/>
        </w:rPr>
      </w:pPr>
      <w:r w:rsidRPr="2AD8D8AA">
        <w:rPr>
          <w:rFonts w:ascii="Arial" w:hAnsi="Arial" w:cs="Arial"/>
          <w:sz w:val="24"/>
          <w:szCs w:val="24"/>
        </w:rPr>
        <w:t>The public submission period closes on 31 March 2019. This is the last day that you will be able to respond to the surveys.</w:t>
      </w:r>
    </w:p>
    <w:p w14:paraId="28C17457" w14:textId="779AEBD5" w:rsidR="00EC3FEC" w:rsidRPr="009E68C2" w:rsidRDefault="2AD8D8AA" w:rsidP="2AD8D8AA">
      <w:pPr>
        <w:jc w:val="both"/>
        <w:rPr>
          <w:rFonts w:ascii="Arial" w:hAnsi="Arial" w:cs="Arial"/>
          <w:sz w:val="24"/>
          <w:szCs w:val="24"/>
        </w:rPr>
      </w:pPr>
      <w:r w:rsidRPr="2AD8D8AA">
        <w:rPr>
          <w:rFonts w:ascii="Arial" w:hAnsi="Arial" w:cs="Arial"/>
          <w:sz w:val="24"/>
          <w:szCs w:val="24"/>
        </w:rPr>
        <w:t>Unless marked as confidential, your submission (including survey responses) will be made public and published in full on the Department’s website. Submissions that contain defamatory or offensive material will not be published.</w:t>
      </w:r>
    </w:p>
    <w:p w14:paraId="2098F1A5" w14:textId="3F5D843C" w:rsidR="00CA362D" w:rsidRPr="009E68C2" w:rsidRDefault="2AD8D8AA" w:rsidP="2AD8D8AA">
      <w:pPr>
        <w:jc w:val="both"/>
        <w:rPr>
          <w:rFonts w:ascii="Arial" w:hAnsi="Arial" w:cs="Arial"/>
          <w:sz w:val="24"/>
          <w:szCs w:val="24"/>
        </w:rPr>
      </w:pPr>
      <w:r w:rsidRPr="2AD8D8AA">
        <w:rPr>
          <w:rFonts w:ascii="Arial" w:hAnsi="Arial" w:cs="Arial"/>
          <w:sz w:val="24"/>
          <w:szCs w:val="24"/>
        </w:rPr>
        <w:t xml:space="preserve">The questions in the survey are provided below but we encourage you to complete the survey online which is available </w:t>
      </w:r>
      <w:hyperlink r:id="rId14">
        <w:r w:rsidRPr="2AD8D8AA">
          <w:rPr>
            <w:rStyle w:val="Hyperlink"/>
            <w:rFonts w:cs="Arial"/>
          </w:rPr>
          <w:t>here</w:t>
        </w:r>
      </w:hyperlink>
      <w:r w:rsidRPr="2AD8D8AA">
        <w:rPr>
          <w:rFonts w:ascii="Arial" w:hAnsi="Arial" w:cs="Arial"/>
          <w:sz w:val="24"/>
          <w:szCs w:val="24"/>
        </w:rPr>
        <w:t>.</w:t>
      </w:r>
    </w:p>
    <w:p w14:paraId="53B53BCF" w14:textId="77777777" w:rsidR="00CA362D" w:rsidRPr="009E68C2" w:rsidRDefault="00CA362D">
      <w:pPr>
        <w:rPr>
          <w:rFonts w:ascii="Arial" w:hAnsi="Arial" w:cs="Arial"/>
          <w:sz w:val="24"/>
        </w:rPr>
      </w:pPr>
      <w:r w:rsidRPr="009E68C2">
        <w:rPr>
          <w:rFonts w:ascii="Arial" w:hAnsi="Arial" w:cs="Arial"/>
          <w:sz w:val="24"/>
        </w:rPr>
        <w:br w:type="page"/>
      </w:r>
    </w:p>
    <w:bookmarkEnd w:id="36"/>
    <w:p w14:paraId="567E3133" w14:textId="4BC4EC09" w:rsidR="00EC3FEC" w:rsidRPr="001E734A" w:rsidRDefault="2AD8D8AA" w:rsidP="2AD8D8AA">
      <w:pPr>
        <w:rPr>
          <w:rFonts w:ascii="Arial" w:hAnsi="Arial" w:cs="Arial"/>
          <w:b/>
          <w:bCs/>
          <w:sz w:val="24"/>
          <w:szCs w:val="24"/>
        </w:rPr>
      </w:pPr>
      <w:r w:rsidRPr="2AD8D8AA">
        <w:rPr>
          <w:rFonts w:ascii="Arial" w:hAnsi="Arial" w:cs="Arial"/>
          <w:b/>
          <w:bCs/>
          <w:i/>
          <w:iCs/>
          <w:sz w:val="24"/>
          <w:szCs w:val="24"/>
        </w:rPr>
        <w:lastRenderedPageBreak/>
        <w:t>Survey</w:t>
      </w:r>
      <w:r w:rsidRPr="2AD8D8AA">
        <w:rPr>
          <w:rFonts w:ascii="Arial" w:hAnsi="Arial" w:cs="Arial"/>
          <w:b/>
          <w:bCs/>
          <w:sz w:val="24"/>
          <w:szCs w:val="24"/>
        </w:rPr>
        <w:t xml:space="preserve"> - Rates, Fees and Charges </w:t>
      </w:r>
    </w:p>
    <w:p w14:paraId="423245D2" w14:textId="77777777"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Have you read the discussion paper associated with this survey?</w:t>
      </w:r>
    </w:p>
    <w:p w14:paraId="1DAD7065"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Yes</w:t>
      </w:r>
    </w:p>
    <w:p w14:paraId="21BD83C6"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w:t>
      </w:r>
    </w:p>
    <w:p w14:paraId="7E74F56E" w14:textId="77777777"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Who are you completing this submission on behalf of?</w:t>
      </w:r>
    </w:p>
    <w:p w14:paraId="67F86722"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Yourself</w:t>
      </w:r>
    </w:p>
    <w:p w14:paraId="3F996C07" w14:textId="5F7FAF1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An organisation, including a local government, peak body or business</w:t>
      </w:r>
    </w:p>
    <w:p w14:paraId="7BD218DD" w14:textId="36F9E37D"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What is the name of the organisation?</w:t>
      </w:r>
    </w:p>
    <w:p w14:paraId="4610CBB3" w14:textId="77777777"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What is your name?</w:t>
      </w:r>
    </w:p>
    <w:p w14:paraId="0D635DC9" w14:textId="4C1A6423"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What best describes your relationship to local government?</w:t>
      </w:r>
    </w:p>
    <w:p w14:paraId="38118DA2"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Resident / ratepayer</w:t>
      </w:r>
    </w:p>
    <w:p w14:paraId="147360BD"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Staff member or CEO</w:t>
      </w:r>
    </w:p>
    <w:p w14:paraId="2952E0D1" w14:textId="6A347BBC"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Council member, including Mayor or President</w:t>
      </w:r>
    </w:p>
    <w:p w14:paraId="6B878791"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Peak body</w:t>
      </w:r>
    </w:p>
    <w:p w14:paraId="4968B71E"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State Government agency</w:t>
      </w:r>
    </w:p>
    <w:p w14:paraId="5145D409"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Supplier or commercial partner</w:t>
      </w:r>
    </w:p>
    <w:p w14:paraId="7EE44AD0"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Community organisation</w:t>
      </w:r>
    </w:p>
    <w:p w14:paraId="1716FCD5" w14:textId="77777777"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What best describes your gender?</w:t>
      </w:r>
    </w:p>
    <w:p w14:paraId="67EE472D"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Male</w:t>
      </w:r>
    </w:p>
    <w:p w14:paraId="3B2D7459"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Female</w:t>
      </w:r>
    </w:p>
    <w:p w14:paraId="59D53C7E"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Other</w:t>
      </w:r>
    </w:p>
    <w:p w14:paraId="647E9685"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Not applicable / the submission is from an organisation</w:t>
      </w:r>
    </w:p>
    <w:p w14:paraId="676169F8" w14:textId="77777777"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What is your age?</w:t>
      </w:r>
    </w:p>
    <w:p w14:paraId="1F2B4063"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0 – 18</w:t>
      </w:r>
    </w:p>
    <w:p w14:paraId="5951E204"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19 – 35</w:t>
      </w:r>
    </w:p>
    <w:p w14:paraId="35589B4E"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36 – 45</w:t>
      </w:r>
    </w:p>
    <w:p w14:paraId="234ACFBC"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46 – 55</w:t>
      </w:r>
    </w:p>
    <w:p w14:paraId="08103551"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56 – 65</w:t>
      </w:r>
    </w:p>
    <w:p w14:paraId="70DA2BFB"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66 – 75</w:t>
      </w:r>
    </w:p>
    <w:p w14:paraId="7CD627ED"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76+</w:t>
      </w:r>
    </w:p>
    <w:p w14:paraId="3EC6B718"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Not applicable</w:t>
      </w:r>
    </w:p>
    <w:p w14:paraId="686AE144" w14:textId="3B29FB22"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Which local government do you interact with most?</w:t>
      </w:r>
    </w:p>
    <w:p w14:paraId="6750EDD4" w14:textId="77777777"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 xml:space="preserve">Would you like to be updated on the progress of the </w:t>
      </w:r>
      <w:r w:rsidRPr="2AD8D8AA">
        <w:rPr>
          <w:rFonts w:ascii="Arial" w:hAnsi="Arial" w:cs="Arial"/>
          <w:i/>
          <w:iCs/>
          <w:sz w:val="24"/>
          <w:szCs w:val="24"/>
        </w:rPr>
        <w:t>Local Government Act 1995</w:t>
      </w:r>
      <w:r w:rsidRPr="2AD8D8AA">
        <w:rPr>
          <w:rFonts w:ascii="Arial" w:hAnsi="Arial" w:cs="Arial"/>
          <w:sz w:val="24"/>
          <w:szCs w:val="24"/>
        </w:rPr>
        <w:t xml:space="preserve"> review and further opportunities to have your say?</w:t>
      </w:r>
    </w:p>
    <w:p w14:paraId="26C0CF16"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Yes</w:t>
      </w:r>
    </w:p>
    <w:p w14:paraId="4DD53624"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w:t>
      </w:r>
    </w:p>
    <w:p w14:paraId="078AD0EF" w14:textId="77777777"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Do you wish for your response to this survey to be confidential?</w:t>
      </w:r>
    </w:p>
    <w:p w14:paraId="737E09BB"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Yes</w:t>
      </w:r>
    </w:p>
    <w:p w14:paraId="454851E1" w14:textId="77777777" w:rsidR="00EC3FE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w:t>
      </w:r>
    </w:p>
    <w:p w14:paraId="027A03D4" w14:textId="7BC002DC" w:rsidR="00EC3FE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What is your email address?</w:t>
      </w:r>
    </w:p>
    <w:p w14:paraId="103ABA25" w14:textId="7B86484C" w:rsidR="006D3BAC" w:rsidRPr="001E734A" w:rsidRDefault="2AD8D8AA" w:rsidP="2AD8D8AA">
      <w:pPr>
        <w:pStyle w:val="ListParagraph"/>
        <w:numPr>
          <w:ilvl w:val="0"/>
          <w:numId w:val="38"/>
        </w:numPr>
        <w:rPr>
          <w:rFonts w:ascii="Arial" w:hAnsi="Arial" w:cs="Arial"/>
          <w:sz w:val="24"/>
          <w:szCs w:val="24"/>
        </w:rPr>
      </w:pPr>
      <w:bookmarkStart w:id="37" w:name="_Hlk523760742"/>
      <w:r w:rsidRPr="2AD8D8AA">
        <w:rPr>
          <w:rFonts w:ascii="Arial" w:hAnsi="Arial" w:cs="Arial"/>
          <w:sz w:val="24"/>
          <w:szCs w:val="24"/>
        </w:rPr>
        <w:t>To what degree are you concerned about rates?</w:t>
      </w:r>
    </w:p>
    <w:p w14:paraId="6990940D" w14:textId="75909E53" w:rsidR="006D3B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Not at all</w:t>
      </w:r>
    </w:p>
    <w:p w14:paraId="4816BE27" w14:textId="73A03D8E" w:rsidR="006D3B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A little</w:t>
      </w:r>
    </w:p>
    <w:p w14:paraId="65667402" w14:textId="01B979B9" w:rsidR="006D3B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A moderate amount</w:t>
      </w:r>
    </w:p>
    <w:p w14:paraId="437F63C8" w14:textId="5792EC71" w:rsidR="006D3B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A lot</w:t>
      </w:r>
    </w:p>
    <w:p w14:paraId="3A8584AB" w14:textId="115C0B1F" w:rsidR="006D3B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A great deal</w:t>
      </w:r>
    </w:p>
    <w:p w14:paraId="13234F46" w14:textId="740F3E30" w:rsidR="006D3BA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lastRenderedPageBreak/>
        <w:t>Do you support the following statements?</w:t>
      </w:r>
    </w:p>
    <w:tbl>
      <w:tblPr>
        <w:tblStyle w:val="DLGCTable-Form2"/>
        <w:tblW w:w="9357" w:type="dxa"/>
        <w:tblInd w:w="-431" w:type="dxa"/>
        <w:tblLook w:val="04A0" w:firstRow="1" w:lastRow="0" w:firstColumn="1" w:lastColumn="0" w:noHBand="0" w:noVBand="1"/>
      </w:tblPr>
      <w:tblGrid>
        <w:gridCol w:w="7143"/>
        <w:gridCol w:w="738"/>
        <w:gridCol w:w="738"/>
        <w:gridCol w:w="738"/>
      </w:tblGrid>
      <w:tr w:rsidR="006D3BAC" w:rsidRPr="00262B60" w14:paraId="34D40A69" w14:textId="77777777" w:rsidTr="2AD8D8AA">
        <w:trPr>
          <w:cantSplit/>
          <w:trHeight w:val="1089"/>
          <w:tblHeader/>
        </w:trPr>
        <w:tc>
          <w:tcPr>
            <w:tcW w:w="7656" w:type="dxa"/>
          </w:tcPr>
          <w:p w14:paraId="0370948E" w14:textId="77777777" w:rsidR="006D3BAC" w:rsidRPr="00262B60" w:rsidRDefault="006D3BAC" w:rsidP="00355A85">
            <w:pPr>
              <w:spacing w:before="120" w:after="120"/>
              <w:rPr>
                <w:rFonts w:ascii="Arial" w:eastAsia="Calibri" w:hAnsi="Arial" w:cs="Arial"/>
                <w:sz w:val="24"/>
                <w:szCs w:val="24"/>
              </w:rPr>
            </w:pPr>
            <w:bookmarkStart w:id="38" w:name="_Hlk523312004"/>
          </w:p>
        </w:tc>
        <w:tc>
          <w:tcPr>
            <w:tcW w:w="567" w:type="dxa"/>
            <w:textDirection w:val="btLr"/>
          </w:tcPr>
          <w:p w14:paraId="10FFCD9A" w14:textId="19F09551"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Yes</w:t>
            </w:r>
          </w:p>
        </w:tc>
        <w:tc>
          <w:tcPr>
            <w:tcW w:w="567" w:type="dxa"/>
            <w:textDirection w:val="btLr"/>
          </w:tcPr>
          <w:p w14:paraId="407F4165" w14:textId="26725542"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No</w:t>
            </w:r>
          </w:p>
        </w:tc>
        <w:tc>
          <w:tcPr>
            <w:tcW w:w="567" w:type="dxa"/>
            <w:textDirection w:val="btLr"/>
          </w:tcPr>
          <w:p w14:paraId="6CFC9F39" w14:textId="40956475"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Unsure</w:t>
            </w:r>
          </w:p>
        </w:tc>
      </w:tr>
      <w:tr w:rsidR="006D3BAC" w:rsidRPr="00262B60" w14:paraId="0AB293AF" w14:textId="77777777" w:rsidTr="2AD8D8AA">
        <w:tc>
          <w:tcPr>
            <w:tcW w:w="7656" w:type="dxa"/>
          </w:tcPr>
          <w:p w14:paraId="45A0228E" w14:textId="62652977"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be required to prepare a Rates and Revenue Strategy each financial year.”</w:t>
            </w:r>
          </w:p>
        </w:tc>
        <w:tc>
          <w:tcPr>
            <w:tcW w:w="567" w:type="dxa"/>
          </w:tcPr>
          <w:p w14:paraId="2B5A7535" w14:textId="77777777" w:rsidR="006D3BAC" w:rsidRPr="00262B60" w:rsidRDefault="006D3BAC" w:rsidP="00355A85">
            <w:pPr>
              <w:spacing w:before="120" w:after="120"/>
              <w:rPr>
                <w:rFonts w:ascii="Arial" w:eastAsia="Calibri" w:hAnsi="Arial" w:cs="Arial"/>
                <w:sz w:val="24"/>
                <w:szCs w:val="24"/>
              </w:rPr>
            </w:pPr>
          </w:p>
        </w:tc>
        <w:tc>
          <w:tcPr>
            <w:tcW w:w="567" w:type="dxa"/>
          </w:tcPr>
          <w:p w14:paraId="484F4101" w14:textId="77777777" w:rsidR="006D3BAC" w:rsidRPr="00262B60" w:rsidRDefault="006D3BAC" w:rsidP="00355A85">
            <w:pPr>
              <w:spacing w:before="120" w:after="120"/>
              <w:rPr>
                <w:rFonts w:ascii="Arial" w:eastAsia="Calibri" w:hAnsi="Arial" w:cs="Arial"/>
                <w:sz w:val="24"/>
                <w:szCs w:val="24"/>
              </w:rPr>
            </w:pPr>
          </w:p>
        </w:tc>
        <w:tc>
          <w:tcPr>
            <w:tcW w:w="567" w:type="dxa"/>
          </w:tcPr>
          <w:p w14:paraId="237D9988" w14:textId="77777777" w:rsidR="006D3BAC" w:rsidRPr="00262B60" w:rsidRDefault="006D3BAC" w:rsidP="00355A85">
            <w:pPr>
              <w:spacing w:before="120" w:after="120"/>
              <w:rPr>
                <w:rFonts w:ascii="Arial" w:eastAsia="Calibri" w:hAnsi="Arial" w:cs="Arial"/>
                <w:sz w:val="24"/>
                <w:szCs w:val="24"/>
              </w:rPr>
            </w:pPr>
          </w:p>
        </w:tc>
      </w:tr>
      <w:tr w:rsidR="006D3BAC" w:rsidRPr="00262B60" w14:paraId="300DEF62" w14:textId="77777777" w:rsidTr="2AD8D8AA">
        <w:tc>
          <w:tcPr>
            <w:tcW w:w="7656" w:type="dxa"/>
          </w:tcPr>
          <w:p w14:paraId="7FD85911" w14:textId="7D225561"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value of the property should continue to be used to partially determine the value of the rates payable.”</w:t>
            </w:r>
          </w:p>
        </w:tc>
        <w:tc>
          <w:tcPr>
            <w:tcW w:w="567" w:type="dxa"/>
          </w:tcPr>
          <w:p w14:paraId="29DDDFBB" w14:textId="77777777" w:rsidR="006D3BAC" w:rsidRPr="00262B60" w:rsidRDefault="006D3BAC" w:rsidP="00355A85">
            <w:pPr>
              <w:spacing w:before="120" w:after="120"/>
              <w:rPr>
                <w:rFonts w:ascii="Arial" w:eastAsia="Calibri" w:hAnsi="Arial" w:cs="Arial"/>
                <w:sz w:val="24"/>
                <w:szCs w:val="24"/>
              </w:rPr>
            </w:pPr>
          </w:p>
        </w:tc>
        <w:tc>
          <w:tcPr>
            <w:tcW w:w="567" w:type="dxa"/>
          </w:tcPr>
          <w:p w14:paraId="3FDCDAD5" w14:textId="77777777" w:rsidR="006D3BAC" w:rsidRPr="00262B60" w:rsidRDefault="006D3BAC" w:rsidP="00355A85">
            <w:pPr>
              <w:spacing w:before="120" w:after="120"/>
              <w:rPr>
                <w:rFonts w:ascii="Arial" w:eastAsia="Calibri" w:hAnsi="Arial" w:cs="Arial"/>
                <w:sz w:val="24"/>
                <w:szCs w:val="24"/>
              </w:rPr>
            </w:pPr>
          </w:p>
        </w:tc>
        <w:tc>
          <w:tcPr>
            <w:tcW w:w="567" w:type="dxa"/>
          </w:tcPr>
          <w:p w14:paraId="16C3E550" w14:textId="77777777" w:rsidR="006D3BAC" w:rsidRPr="00262B60" w:rsidRDefault="006D3BAC" w:rsidP="00355A85">
            <w:pPr>
              <w:spacing w:before="120" w:after="120"/>
              <w:rPr>
                <w:rFonts w:ascii="Arial" w:eastAsia="Calibri" w:hAnsi="Arial" w:cs="Arial"/>
                <w:sz w:val="24"/>
                <w:szCs w:val="24"/>
              </w:rPr>
            </w:pPr>
          </w:p>
        </w:tc>
      </w:tr>
      <w:tr w:rsidR="006D3BAC" w:rsidRPr="00262B60" w14:paraId="0031DA58" w14:textId="77777777" w:rsidTr="2AD8D8AA">
        <w:tc>
          <w:tcPr>
            <w:tcW w:w="7656" w:type="dxa"/>
          </w:tcPr>
          <w:p w14:paraId="21A55A0C" w14:textId="73ABCD6D"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be required to advertise all of their proposed rates and consider any submissions made, prior to adopting their budget.”</w:t>
            </w:r>
          </w:p>
        </w:tc>
        <w:tc>
          <w:tcPr>
            <w:tcW w:w="567" w:type="dxa"/>
          </w:tcPr>
          <w:p w14:paraId="5F7C30DC" w14:textId="77777777" w:rsidR="006D3BAC" w:rsidRPr="00262B60" w:rsidRDefault="006D3BAC" w:rsidP="00355A85">
            <w:pPr>
              <w:spacing w:before="120" w:after="120"/>
              <w:rPr>
                <w:rFonts w:ascii="Arial" w:eastAsia="Calibri" w:hAnsi="Arial" w:cs="Arial"/>
                <w:sz w:val="24"/>
                <w:szCs w:val="24"/>
              </w:rPr>
            </w:pPr>
          </w:p>
        </w:tc>
        <w:tc>
          <w:tcPr>
            <w:tcW w:w="567" w:type="dxa"/>
          </w:tcPr>
          <w:p w14:paraId="3A6B5219" w14:textId="77777777" w:rsidR="006D3BAC" w:rsidRPr="00262B60" w:rsidRDefault="006D3BAC" w:rsidP="00355A85">
            <w:pPr>
              <w:spacing w:before="120" w:after="120"/>
              <w:rPr>
                <w:rFonts w:ascii="Arial" w:eastAsia="Calibri" w:hAnsi="Arial" w:cs="Arial"/>
                <w:sz w:val="24"/>
                <w:szCs w:val="24"/>
              </w:rPr>
            </w:pPr>
          </w:p>
        </w:tc>
        <w:tc>
          <w:tcPr>
            <w:tcW w:w="567" w:type="dxa"/>
          </w:tcPr>
          <w:p w14:paraId="42394B52" w14:textId="77777777" w:rsidR="006D3BAC" w:rsidRPr="00262B60" w:rsidRDefault="006D3BAC" w:rsidP="00355A85">
            <w:pPr>
              <w:spacing w:before="120" w:after="120"/>
              <w:rPr>
                <w:rFonts w:ascii="Arial" w:eastAsia="Calibri" w:hAnsi="Arial" w:cs="Arial"/>
                <w:sz w:val="24"/>
                <w:szCs w:val="24"/>
              </w:rPr>
            </w:pPr>
          </w:p>
        </w:tc>
      </w:tr>
      <w:tr w:rsidR="006D3BAC" w:rsidRPr="00262B60" w14:paraId="05E581EA" w14:textId="77777777" w:rsidTr="2AD8D8AA">
        <w:tc>
          <w:tcPr>
            <w:tcW w:w="7656" w:type="dxa"/>
          </w:tcPr>
          <w:p w14:paraId="13920437" w14:textId="6F9C2909"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 xml:space="preserve">“Under the </w:t>
            </w:r>
            <w:r w:rsidRPr="2AD8D8AA">
              <w:rPr>
                <w:rFonts w:ascii="Arial" w:eastAsia="Calibri" w:hAnsi="Arial" w:cs="Arial"/>
                <w:i/>
                <w:iCs/>
                <w:sz w:val="24"/>
                <w:szCs w:val="24"/>
              </w:rPr>
              <w:t>Local Government Act 1995</w:t>
            </w:r>
            <w:r w:rsidRPr="2AD8D8AA">
              <w:rPr>
                <w:rFonts w:ascii="Arial" w:eastAsia="Calibri" w:hAnsi="Arial" w:cs="Arial"/>
                <w:sz w:val="24"/>
                <w:szCs w:val="24"/>
              </w:rPr>
              <w:t>, local governments may not advertise their rates prior to 1 May. Local governments should be permitted to advertise their rates at any time leading up to the adoption of their budget.”</w:t>
            </w:r>
          </w:p>
        </w:tc>
        <w:tc>
          <w:tcPr>
            <w:tcW w:w="567" w:type="dxa"/>
          </w:tcPr>
          <w:p w14:paraId="63B865D5" w14:textId="77777777" w:rsidR="006D3BAC" w:rsidRPr="00262B60" w:rsidRDefault="006D3BAC" w:rsidP="00355A85">
            <w:pPr>
              <w:spacing w:before="120" w:after="120"/>
              <w:rPr>
                <w:rFonts w:ascii="Arial" w:eastAsia="Calibri" w:hAnsi="Arial" w:cs="Arial"/>
                <w:sz w:val="24"/>
                <w:szCs w:val="24"/>
              </w:rPr>
            </w:pPr>
          </w:p>
        </w:tc>
        <w:tc>
          <w:tcPr>
            <w:tcW w:w="567" w:type="dxa"/>
          </w:tcPr>
          <w:p w14:paraId="342778E6" w14:textId="77777777" w:rsidR="006D3BAC" w:rsidRPr="00262B60" w:rsidRDefault="006D3BAC" w:rsidP="00355A85">
            <w:pPr>
              <w:spacing w:before="120" w:after="120"/>
              <w:rPr>
                <w:rFonts w:ascii="Arial" w:eastAsia="Calibri" w:hAnsi="Arial" w:cs="Arial"/>
                <w:sz w:val="24"/>
                <w:szCs w:val="24"/>
              </w:rPr>
            </w:pPr>
          </w:p>
        </w:tc>
        <w:tc>
          <w:tcPr>
            <w:tcW w:w="567" w:type="dxa"/>
          </w:tcPr>
          <w:p w14:paraId="6955D769" w14:textId="77777777" w:rsidR="006D3BAC" w:rsidRPr="00262B60" w:rsidRDefault="006D3BAC" w:rsidP="00355A85">
            <w:pPr>
              <w:spacing w:before="120" w:after="120"/>
              <w:rPr>
                <w:rFonts w:ascii="Arial" w:eastAsia="Calibri" w:hAnsi="Arial" w:cs="Arial"/>
                <w:sz w:val="24"/>
                <w:szCs w:val="24"/>
              </w:rPr>
            </w:pPr>
          </w:p>
        </w:tc>
      </w:tr>
      <w:tr w:rsidR="006D3BAC" w:rsidRPr="00262B60" w14:paraId="243F89CB" w14:textId="77777777" w:rsidTr="2AD8D8AA">
        <w:tc>
          <w:tcPr>
            <w:tcW w:w="7656" w:type="dxa"/>
          </w:tcPr>
          <w:p w14:paraId="50B59498" w14:textId="43716959"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“All types of rateable property should pay the same rate in the dollar, regardless of how the land is used.”</w:t>
            </w:r>
          </w:p>
        </w:tc>
        <w:tc>
          <w:tcPr>
            <w:tcW w:w="567" w:type="dxa"/>
          </w:tcPr>
          <w:p w14:paraId="611279F6" w14:textId="77777777" w:rsidR="006D3BAC" w:rsidRPr="00262B60" w:rsidRDefault="006D3BAC" w:rsidP="00355A85">
            <w:pPr>
              <w:spacing w:before="120" w:after="120"/>
              <w:rPr>
                <w:rFonts w:ascii="Arial" w:eastAsia="Calibri" w:hAnsi="Arial" w:cs="Arial"/>
                <w:sz w:val="24"/>
                <w:szCs w:val="24"/>
              </w:rPr>
            </w:pPr>
          </w:p>
        </w:tc>
        <w:tc>
          <w:tcPr>
            <w:tcW w:w="567" w:type="dxa"/>
          </w:tcPr>
          <w:p w14:paraId="1CDDBE0B" w14:textId="77777777" w:rsidR="006D3BAC" w:rsidRPr="00262B60" w:rsidRDefault="006D3BAC" w:rsidP="00355A85">
            <w:pPr>
              <w:spacing w:before="120" w:after="120"/>
              <w:rPr>
                <w:rFonts w:ascii="Arial" w:eastAsia="Calibri" w:hAnsi="Arial" w:cs="Arial"/>
                <w:sz w:val="24"/>
                <w:szCs w:val="24"/>
              </w:rPr>
            </w:pPr>
          </w:p>
        </w:tc>
        <w:tc>
          <w:tcPr>
            <w:tcW w:w="567" w:type="dxa"/>
          </w:tcPr>
          <w:p w14:paraId="01D06026" w14:textId="77777777" w:rsidR="006D3BAC" w:rsidRPr="00262B60" w:rsidRDefault="006D3BAC" w:rsidP="00355A85">
            <w:pPr>
              <w:spacing w:before="120" w:after="120"/>
              <w:rPr>
                <w:rFonts w:ascii="Arial" w:eastAsia="Calibri" w:hAnsi="Arial" w:cs="Arial"/>
                <w:sz w:val="24"/>
                <w:szCs w:val="24"/>
              </w:rPr>
            </w:pPr>
          </w:p>
        </w:tc>
      </w:tr>
      <w:bookmarkEnd w:id="38"/>
    </w:tbl>
    <w:p w14:paraId="4960E56C" w14:textId="77777777" w:rsidR="00441E67" w:rsidRPr="00441E67" w:rsidRDefault="00441E67" w:rsidP="00441E67">
      <w:pPr>
        <w:pStyle w:val="ListParagraph"/>
        <w:rPr>
          <w:rFonts w:ascii="Arial" w:hAnsi="Arial" w:cs="Arial"/>
          <w:sz w:val="24"/>
          <w:szCs w:val="24"/>
        </w:rPr>
      </w:pPr>
    </w:p>
    <w:p w14:paraId="489703D3" w14:textId="4DAEE3AB" w:rsidR="0051099E" w:rsidRPr="003B72A1" w:rsidRDefault="2AD8D8AA" w:rsidP="2AD8D8AA">
      <w:pPr>
        <w:pStyle w:val="ListParagraph"/>
        <w:numPr>
          <w:ilvl w:val="0"/>
          <w:numId w:val="38"/>
        </w:numPr>
        <w:rPr>
          <w:rFonts w:ascii="Arial" w:hAnsi="Arial" w:cs="Arial"/>
          <w:sz w:val="24"/>
          <w:szCs w:val="24"/>
        </w:rPr>
      </w:pPr>
      <w:r w:rsidRPr="2AD8D8AA">
        <w:rPr>
          <w:rFonts w:ascii="Arial" w:eastAsia="Calibri" w:hAnsi="Arial" w:cs="Arial"/>
        </w:rPr>
        <w:t>Should the legislation set the rating categories that can be used by local governments?</w:t>
      </w:r>
    </w:p>
    <w:p w14:paraId="6090B44C" w14:textId="0374767D" w:rsidR="003B72A1"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Yes</w:t>
      </w:r>
    </w:p>
    <w:p w14:paraId="5C066BED" w14:textId="01621DC5" w:rsidR="003B72A1"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w:t>
      </w:r>
    </w:p>
    <w:p w14:paraId="679A62AA" w14:textId="10696237" w:rsidR="003B72A1" w:rsidRPr="0051099E"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Unsure</w:t>
      </w:r>
    </w:p>
    <w:p w14:paraId="2A1DDFAA" w14:textId="46E86B05" w:rsidR="006D3BA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If rating categories are set in legislation, what would be appropriate categories?</w:t>
      </w:r>
    </w:p>
    <w:tbl>
      <w:tblPr>
        <w:tblStyle w:val="DLGCTable-Form2"/>
        <w:tblpPr w:leftFromText="180" w:rightFromText="180" w:vertAnchor="text" w:tblpX="-431" w:tblpY="1"/>
        <w:tblOverlap w:val="never"/>
        <w:tblW w:w="9221" w:type="dxa"/>
        <w:tblLook w:val="04A0" w:firstRow="1" w:lastRow="0" w:firstColumn="1" w:lastColumn="0" w:noHBand="0" w:noVBand="1"/>
      </w:tblPr>
      <w:tblGrid>
        <w:gridCol w:w="6783"/>
        <w:gridCol w:w="850"/>
        <w:gridCol w:w="738"/>
        <w:gridCol w:w="850"/>
      </w:tblGrid>
      <w:tr w:rsidR="006D3BAC" w:rsidRPr="00262B60" w14:paraId="0389C7C4" w14:textId="77777777" w:rsidTr="2AD8D8AA">
        <w:trPr>
          <w:cantSplit/>
          <w:trHeight w:val="1124"/>
          <w:tblHeader/>
        </w:trPr>
        <w:tc>
          <w:tcPr>
            <w:tcW w:w="6811" w:type="dxa"/>
          </w:tcPr>
          <w:p w14:paraId="4537B3C5" w14:textId="77777777" w:rsidR="006D3BAC" w:rsidRPr="00262B60" w:rsidRDefault="006D3BAC" w:rsidP="00355A85">
            <w:pPr>
              <w:spacing w:before="120" w:after="120"/>
              <w:rPr>
                <w:rFonts w:ascii="Arial" w:eastAsia="Calibri" w:hAnsi="Arial" w:cs="Arial"/>
                <w:sz w:val="24"/>
                <w:szCs w:val="24"/>
              </w:rPr>
            </w:pPr>
          </w:p>
        </w:tc>
        <w:tc>
          <w:tcPr>
            <w:tcW w:w="851" w:type="dxa"/>
            <w:textDirection w:val="btLr"/>
          </w:tcPr>
          <w:p w14:paraId="04F85F11" w14:textId="77777777"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Yes</w:t>
            </w:r>
          </w:p>
        </w:tc>
        <w:tc>
          <w:tcPr>
            <w:tcW w:w="708" w:type="dxa"/>
            <w:textDirection w:val="btLr"/>
          </w:tcPr>
          <w:p w14:paraId="4763C220" w14:textId="77777777"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No</w:t>
            </w:r>
          </w:p>
        </w:tc>
        <w:tc>
          <w:tcPr>
            <w:tcW w:w="851" w:type="dxa"/>
            <w:textDirection w:val="btLr"/>
          </w:tcPr>
          <w:p w14:paraId="591B333E" w14:textId="77777777"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Unsure</w:t>
            </w:r>
          </w:p>
        </w:tc>
      </w:tr>
      <w:tr w:rsidR="006D3BAC" w:rsidRPr="00262B60" w14:paraId="0342F3CC" w14:textId="77777777" w:rsidTr="2AD8D8AA">
        <w:tc>
          <w:tcPr>
            <w:tcW w:w="6811" w:type="dxa"/>
          </w:tcPr>
          <w:p w14:paraId="57C14F71" w14:textId="7A8D20C6"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Residential</w:t>
            </w:r>
          </w:p>
        </w:tc>
        <w:tc>
          <w:tcPr>
            <w:tcW w:w="851" w:type="dxa"/>
          </w:tcPr>
          <w:p w14:paraId="2E118675" w14:textId="77777777" w:rsidR="006D3BAC" w:rsidRPr="00262B60" w:rsidRDefault="006D3BAC" w:rsidP="00355A85">
            <w:pPr>
              <w:spacing w:before="120" w:after="120"/>
              <w:rPr>
                <w:rFonts w:ascii="Arial" w:eastAsia="Calibri" w:hAnsi="Arial" w:cs="Arial"/>
                <w:sz w:val="24"/>
                <w:szCs w:val="24"/>
              </w:rPr>
            </w:pPr>
          </w:p>
        </w:tc>
        <w:tc>
          <w:tcPr>
            <w:tcW w:w="708" w:type="dxa"/>
          </w:tcPr>
          <w:p w14:paraId="715FF943" w14:textId="77777777" w:rsidR="006D3BAC" w:rsidRPr="00262B60" w:rsidRDefault="006D3BAC" w:rsidP="00355A85">
            <w:pPr>
              <w:spacing w:before="120" w:after="120"/>
              <w:rPr>
                <w:rFonts w:ascii="Arial" w:eastAsia="Calibri" w:hAnsi="Arial" w:cs="Arial"/>
                <w:sz w:val="24"/>
                <w:szCs w:val="24"/>
              </w:rPr>
            </w:pPr>
          </w:p>
        </w:tc>
        <w:tc>
          <w:tcPr>
            <w:tcW w:w="851" w:type="dxa"/>
          </w:tcPr>
          <w:p w14:paraId="09EA797A" w14:textId="77777777" w:rsidR="006D3BAC" w:rsidRPr="00262B60" w:rsidRDefault="006D3BAC" w:rsidP="00355A85">
            <w:pPr>
              <w:spacing w:before="120" w:after="120"/>
              <w:rPr>
                <w:rFonts w:ascii="Arial" w:eastAsia="Calibri" w:hAnsi="Arial" w:cs="Arial"/>
                <w:sz w:val="24"/>
                <w:szCs w:val="24"/>
              </w:rPr>
            </w:pPr>
          </w:p>
        </w:tc>
      </w:tr>
      <w:tr w:rsidR="006D3BAC" w:rsidRPr="00262B60" w14:paraId="103E228F" w14:textId="77777777" w:rsidTr="2AD8D8AA">
        <w:tc>
          <w:tcPr>
            <w:tcW w:w="6811" w:type="dxa"/>
          </w:tcPr>
          <w:p w14:paraId="3A8F8E9C" w14:textId="76F0CEB8"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Rural residential</w:t>
            </w:r>
          </w:p>
        </w:tc>
        <w:tc>
          <w:tcPr>
            <w:tcW w:w="851" w:type="dxa"/>
          </w:tcPr>
          <w:p w14:paraId="305EC4AD" w14:textId="77777777" w:rsidR="006D3BAC" w:rsidRPr="00262B60" w:rsidRDefault="006D3BAC" w:rsidP="00355A85">
            <w:pPr>
              <w:spacing w:before="120" w:after="120"/>
              <w:rPr>
                <w:rFonts w:ascii="Arial" w:eastAsia="Calibri" w:hAnsi="Arial" w:cs="Arial"/>
                <w:sz w:val="24"/>
                <w:szCs w:val="24"/>
              </w:rPr>
            </w:pPr>
          </w:p>
        </w:tc>
        <w:tc>
          <w:tcPr>
            <w:tcW w:w="708" w:type="dxa"/>
          </w:tcPr>
          <w:p w14:paraId="3EABEEB3" w14:textId="77777777" w:rsidR="006D3BAC" w:rsidRPr="00262B60" w:rsidRDefault="006D3BAC" w:rsidP="00355A85">
            <w:pPr>
              <w:spacing w:before="120" w:after="120"/>
              <w:rPr>
                <w:rFonts w:ascii="Arial" w:eastAsia="Calibri" w:hAnsi="Arial" w:cs="Arial"/>
                <w:sz w:val="24"/>
                <w:szCs w:val="24"/>
              </w:rPr>
            </w:pPr>
          </w:p>
        </w:tc>
        <w:tc>
          <w:tcPr>
            <w:tcW w:w="851" w:type="dxa"/>
          </w:tcPr>
          <w:p w14:paraId="64F1184D" w14:textId="77777777" w:rsidR="006D3BAC" w:rsidRPr="00262B60" w:rsidRDefault="006D3BAC" w:rsidP="00355A85">
            <w:pPr>
              <w:spacing w:before="120" w:after="120"/>
              <w:rPr>
                <w:rFonts w:ascii="Arial" w:eastAsia="Calibri" w:hAnsi="Arial" w:cs="Arial"/>
                <w:sz w:val="24"/>
                <w:szCs w:val="24"/>
              </w:rPr>
            </w:pPr>
          </w:p>
        </w:tc>
      </w:tr>
      <w:tr w:rsidR="006D3BAC" w:rsidRPr="00262B60" w14:paraId="2E9BFA27" w14:textId="77777777" w:rsidTr="2AD8D8AA">
        <w:tc>
          <w:tcPr>
            <w:tcW w:w="6811" w:type="dxa"/>
          </w:tcPr>
          <w:p w14:paraId="3AC08098" w14:textId="5B5786C9"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Commercial</w:t>
            </w:r>
          </w:p>
        </w:tc>
        <w:tc>
          <w:tcPr>
            <w:tcW w:w="851" w:type="dxa"/>
          </w:tcPr>
          <w:p w14:paraId="06122D5A" w14:textId="77777777" w:rsidR="006D3BAC" w:rsidRPr="00262B60" w:rsidRDefault="006D3BAC" w:rsidP="00355A85">
            <w:pPr>
              <w:spacing w:before="120" w:after="120"/>
              <w:rPr>
                <w:rFonts w:ascii="Arial" w:eastAsia="Calibri" w:hAnsi="Arial" w:cs="Arial"/>
                <w:sz w:val="24"/>
                <w:szCs w:val="24"/>
              </w:rPr>
            </w:pPr>
          </w:p>
        </w:tc>
        <w:tc>
          <w:tcPr>
            <w:tcW w:w="708" w:type="dxa"/>
          </w:tcPr>
          <w:p w14:paraId="026278EA" w14:textId="77777777" w:rsidR="006D3BAC" w:rsidRPr="00262B60" w:rsidRDefault="006D3BAC" w:rsidP="00355A85">
            <w:pPr>
              <w:spacing w:before="120" w:after="120"/>
              <w:rPr>
                <w:rFonts w:ascii="Arial" w:eastAsia="Calibri" w:hAnsi="Arial" w:cs="Arial"/>
                <w:sz w:val="24"/>
                <w:szCs w:val="24"/>
              </w:rPr>
            </w:pPr>
          </w:p>
        </w:tc>
        <w:tc>
          <w:tcPr>
            <w:tcW w:w="851" w:type="dxa"/>
          </w:tcPr>
          <w:p w14:paraId="16C56AB9" w14:textId="77777777" w:rsidR="006D3BAC" w:rsidRPr="00262B60" w:rsidRDefault="006D3BAC" w:rsidP="00355A85">
            <w:pPr>
              <w:spacing w:before="120" w:after="120"/>
              <w:rPr>
                <w:rFonts w:ascii="Arial" w:eastAsia="Calibri" w:hAnsi="Arial" w:cs="Arial"/>
                <w:sz w:val="24"/>
                <w:szCs w:val="24"/>
              </w:rPr>
            </w:pPr>
          </w:p>
        </w:tc>
      </w:tr>
      <w:tr w:rsidR="006D3BAC" w:rsidRPr="00262B60" w14:paraId="68F2B3FB" w14:textId="77777777" w:rsidTr="2AD8D8AA">
        <w:tc>
          <w:tcPr>
            <w:tcW w:w="6811" w:type="dxa"/>
          </w:tcPr>
          <w:p w14:paraId="30D86477" w14:textId="5829CA88"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Industrial</w:t>
            </w:r>
          </w:p>
        </w:tc>
        <w:tc>
          <w:tcPr>
            <w:tcW w:w="851" w:type="dxa"/>
          </w:tcPr>
          <w:p w14:paraId="7892E8D7" w14:textId="77777777" w:rsidR="006D3BAC" w:rsidRPr="00262B60" w:rsidRDefault="006D3BAC" w:rsidP="00355A85">
            <w:pPr>
              <w:spacing w:before="120" w:after="120"/>
              <w:rPr>
                <w:rFonts w:ascii="Arial" w:eastAsia="Calibri" w:hAnsi="Arial" w:cs="Arial"/>
                <w:sz w:val="24"/>
                <w:szCs w:val="24"/>
              </w:rPr>
            </w:pPr>
          </w:p>
        </w:tc>
        <w:tc>
          <w:tcPr>
            <w:tcW w:w="708" w:type="dxa"/>
          </w:tcPr>
          <w:p w14:paraId="36FB887A" w14:textId="77777777" w:rsidR="006D3BAC" w:rsidRPr="00262B60" w:rsidRDefault="006D3BAC" w:rsidP="00355A85">
            <w:pPr>
              <w:spacing w:before="120" w:after="120"/>
              <w:rPr>
                <w:rFonts w:ascii="Arial" w:eastAsia="Calibri" w:hAnsi="Arial" w:cs="Arial"/>
                <w:sz w:val="24"/>
                <w:szCs w:val="24"/>
              </w:rPr>
            </w:pPr>
          </w:p>
        </w:tc>
        <w:tc>
          <w:tcPr>
            <w:tcW w:w="851" w:type="dxa"/>
          </w:tcPr>
          <w:p w14:paraId="6AAF7A46" w14:textId="77777777" w:rsidR="006D3BAC" w:rsidRPr="00262B60" w:rsidRDefault="006D3BAC" w:rsidP="00355A85">
            <w:pPr>
              <w:spacing w:before="120" w:after="120"/>
              <w:rPr>
                <w:rFonts w:ascii="Arial" w:eastAsia="Calibri" w:hAnsi="Arial" w:cs="Arial"/>
                <w:sz w:val="24"/>
                <w:szCs w:val="24"/>
              </w:rPr>
            </w:pPr>
          </w:p>
        </w:tc>
      </w:tr>
      <w:tr w:rsidR="006D3BAC" w:rsidRPr="00262B60" w14:paraId="3D56B581" w14:textId="77777777" w:rsidTr="2AD8D8AA">
        <w:tc>
          <w:tcPr>
            <w:tcW w:w="6811" w:type="dxa"/>
          </w:tcPr>
          <w:p w14:paraId="41EF9B3F" w14:textId="47528DF7"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Vacant</w:t>
            </w:r>
          </w:p>
        </w:tc>
        <w:tc>
          <w:tcPr>
            <w:tcW w:w="851" w:type="dxa"/>
          </w:tcPr>
          <w:p w14:paraId="20238B6B" w14:textId="77777777" w:rsidR="006D3BAC" w:rsidRPr="00262B60" w:rsidRDefault="006D3BAC" w:rsidP="00355A85">
            <w:pPr>
              <w:spacing w:before="120" w:after="120"/>
              <w:rPr>
                <w:rFonts w:ascii="Arial" w:eastAsia="Calibri" w:hAnsi="Arial" w:cs="Arial"/>
                <w:sz w:val="24"/>
                <w:szCs w:val="24"/>
              </w:rPr>
            </w:pPr>
          </w:p>
        </w:tc>
        <w:tc>
          <w:tcPr>
            <w:tcW w:w="708" w:type="dxa"/>
          </w:tcPr>
          <w:p w14:paraId="0EA83EF2" w14:textId="77777777" w:rsidR="006D3BAC" w:rsidRPr="00262B60" w:rsidRDefault="006D3BAC" w:rsidP="00355A85">
            <w:pPr>
              <w:spacing w:before="120" w:after="120"/>
              <w:rPr>
                <w:rFonts w:ascii="Arial" w:eastAsia="Calibri" w:hAnsi="Arial" w:cs="Arial"/>
                <w:sz w:val="24"/>
                <w:szCs w:val="24"/>
              </w:rPr>
            </w:pPr>
          </w:p>
        </w:tc>
        <w:tc>
          <w:tcPr>
            <w:tcW w:w="851" w:type="dxa"/>
          </w:tcPr>
          <w:p w14:paraId="678390CB" w14:textId="77777777" w:rsidR="006D3BAC" w:rsidRPr="00262B60" w:rsidRDefault="006D3BAC" w:rsidP="00355A85">
            <w:pPr>
              <w:spacing w:before="120" w:after="120"/>
              <w:rPr>
                <w:rFonts w:ascii="Arial" w:eastAsia="Calibri" w:hAnsi="Arial" w:cs="Arial"/>
                <w:sz w:val="24"/>
                <w:szCs w:val="24"/>
              </w:rPr>
            </w:pPr>
          </w:p>
        </w:tc>
      </w:tr>
      <w:tr w:rsidR="006D3BAC" w:rsidRPr="00262B60" w14:paraId="7883AED4" w14:textId="77777777" w:rsidTr="2AD8D8AA">
        <w:tc>
          <w:tcPr>
            <w:tcW w:w="6811" w:type="dxa"/>
          </w:tcPr>
          <w:p w14:paraId="427DF612" w14:textId="1C5C88B5"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Mining</w:t>
            </w:r>
          </w:p>
        </w:tc>
        <w:tc>
          <w:tcPr>
            <w:tcW w:w="851" w:type="dxa"/>
          </w:tcPr>
          <w:p w14:paraId="7555F311" w14:textId="77777777" w:rsidR="006D3BAC" w:rsidRPr="00262B60" w:rsidRDefault="006D3BAC" w:rsidP="00355A85">
            <w:pPr>
              <w:spacing w:before="120" w:after="120"/>
              <w:rPr>
                <w:rFonts w:ascii="Arial" w:eastAsia="Calibri" w:hAnsi="Arial" w:cs="Arial"/>
                <w:sz w:val="24"/>
                <w:szCs w:val="24"/>
              </w:rPr>
            </w:pPr>
          </w:p>
        </w:tc>
        <w:tc>
          <w:tcPr>
            <w:tcW w:w="708" w:type="dxa"/>
          </w:tcPr>
          <w:p w14:paraId="7D5ACDE8" w14:textId="77777777" w:rsidR="006D3BAC" w:rsidRPr="00262B60" w:rsidRDefault="006D3BAC" w:rsidP="00355A85">
            <w:pPr>
              <w:spacing w:before="120" w:after="120"/>
              <w:rPr>
                <w:rFonts w:ascii="Arial" w:eastAsia="Calibri" w:hAnsi="Arial" w:cs="Arial"/>
                <w:sz w:val="24"/>
                <w:szCs w:val="24"/>
              </w:rPr>
            </w:pPr>
          </w:p>
        </w:tc>
        <w:tc>
          <w:tcPr>
            <w:tcW w:w="851" w:type="dxa"/>
          </w:tcPr>
          <w:p w14:paraId="1F9A2B81" w14:textId="77777777" w:rsidR="006D3BAC" w:rsidRPr="00262B60" w:rsidRDefault="006D3BAC" w:rsidP="00355A85">
            <w:pPr>
              <w:spacing w:before="120" w:after="120"/>
              <w:rPr>
                <w:rFonts w:ascii="Arial" w:eastAsia="Calibri" w:hAnsi="Arial" w:cs="Arial"/>
                <w:sz w:val="24"/>
                <w:szCs w:val="24"/>
              </w:rPr>
            </w:pPr>
          </w:p>
        </w:tc>
      </w:tr>
      <w:tr w:rsidR="006D3BAC" w:rsidRPr="00262B60" w14:paraId="1467E85A" w14:textId="77777777" w:rsidTr="2AD8D8AA">
        <w:tc>
          <w:tcPr>
            <w:tcW w:w="6811" w:type="dxa"/>
          </w:tcPr>
          <w:p w14:paraId="0F87F428" w14:textId="64BB7A68"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lastRenderedPageBreak/>
              <w:t>Mining - exploration and prospecting (separate from general mining)</w:t>
            </w:r>
          </w:p>
        </w:tc>
        <w:tc>
          <w:tcPr>
            <w:tcW w:w="851" w:type="dxa"/>
          </w:tcPr>
          <w:p w14:paraId="6DAE4FB6" w14:textId="77777777" w:rsidR="006D3BAC" w:rsidRPr="00262B60" w:rsidRDefault="006D3BAC" w:rsidP="00355A85">
            <w:pPr>
              <w:spacing w:before="120" w:after="120"/>
              <w:rPr>
                <w:rFonts w:ascii="Arial" w:eastAsia="Calibri" w:hAnsi="Arial" w:cs="Arial"/>
                <w:sz w:val="24"/>
                <w:szCs w:val="24"/>
              </w:rPr>
            </w:pPr>
          </w:p>
        </w:tc>
        <w:tc>
          <w:tcPr>
            <w:tcW w:w="708" w:type="dxa"/>
          </w:tcPr>
          <w:p w14:paraId="5334E743" w14:textId="77777777" w:rsidR="006D3BAC" w:rsidRPr="00262B60" w:rsidRDefault="006D3BAC" w:rsidP="00355A85">
            <w:pPr>
              <w:spacing w:before="120" w:after="120"/>
              <w:rPr>
                <w:rFonts w:ascii="Arial" w:eastAsia="Calibri" w:hAnsi="Arial" w:cs="Arial"/>
                <w:sz w:val="24"/>
                <w:szCs w:val="24"/>
              </w:rPr>
            </w:pPr>
          </w:p>
        </w:tc>
        <w:tc>
          <w:tcPr>
            <w:tcW w:w="851" w:type="dxa"/>
          </w:tcPr>
          <w:p w14:paraId="2F98CFC8" w14:textId="77777777" w:rsidR="006D3BAC" w:rsidRPr="00262B60" w:rsidRDefault="006D3BAC" w:rsidP="00355A85">
            <w:pPr>
              <w:spacing w:before="120" w:after="120"/>
              <w:rPr>
                <w:rFonts w:ascii="Arial" w:eastAsia="Calibri" w:hAnsi="Arial" w:cs="Arial"/>
                <w:sz w:val="24"/>
                <w:szCs w:val="24"/>
              </w:rPr>
            </w:pPr>
          </w:p>
        </w:tc>
      </w:tr>
      <w:tr w:rsidR="006D3BAC" w:rsidRPr="00262B60" w14:paraId="53D5708E" w14:textId="77777777" w:rsidTr="2AD8D8AA">
        <w:tc>
          <w:tcPr>
            <w:tcW w:w="6811" w:type="dxa"/>
          </w:tcPr>
          <w:p w14:paraId="44AD0078" w14:textId="173C42D3"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Farming</w:t>
            </w:r>
          </w:p>
        </w:tc>
        <w:tc>
          <w:tcPr>
            <w:tcW w:w="851" w:type="dxa"/>
          </w:tcPr>
          <w:p w14:paraId="3BF7CA45" w14:textId="77777777" w:rsidR="006D3BAC" w:rsidRPr="00262B60" w:rsidRDefault="006D3BAC" w:rsidP="00355A85">
            <w:pPr>
              <w:spacing w:before="120" w:after="120"/>
              <w:rPr>
                <w:rFonts w:ascii="Arial" w:eastAsia="Calibri" w:hAnsi="Arial" w:cs="Arial"/>
                <w:sz w:val="24"/>
                <w:szCs w:val="24"/>
              </w:rPr>
            </w:pPr>
          </w:p>
        </w:tc>
        <w:tc>
          <w:tcPr>
            <w:tcW w:w="708" w:type="dxa"/>
          </w:tcPr>
          <w:p w14:paraId="2C178844" w14:textId="77777777" w:rsidR="006D3BAC" w:rsidRPr="00262B60" w:rsidRDefault="006D3BAC" w:rsidP="00355A85">
            <w:pPr>
              <w:spacing w:before="120" w:after="120"/>
              <w:rPr>
                <w:rFonts w:ascii="Arial" w:eastAsia="Calibri" w:hAnsi="Arial" w:cs="Arial"/>
                <w:sz w:val="24"/>
                <w:szCs w:val="24"/>
              </w:rPr>
            </w:pPr>
          </w:p>
        </w:tc>
        <w:tc>
          <w:tcPr>
            <w:tcW w:w="851" w:type="dxa"/>
          </w:tcPr>
          <w:p w14:paraId="1DD37252" w14:textId="77777777" w:rsidR="006D3BAC" w:rsidRPr="00262B60" w:rsidRDefault="006D3BAC" w:rsidP="00355A85">
            <w:pPr>
              <w:spacing w:before="120" w:after="120"/>
              <w:rPr>
                <w:rFonts w:ascii="Arial" w:eastAsia="Calibri" w:hAnsi="Arial" w:cs="Arial"/>
                <w:sz w:val="24"/>
                <w:szCs w:val="24"/>
              </w:rPr>
            </w:pPr>
          </w:p>
        </w:tc>
      </w:tr>
      <w:tr w:rsidR="006D3BAC" w:rsidRPr="00262B60" w14:paraId="0C7D6359" w14:textId="77777777" w:rsidTr="2AD8D8AA">
        <w:tc>
          <w:tcPr>
            <w:tcW w:w="6811" w:type="dxa"/>
          </w:tcPr>
          <w:p w14:paraId="192CF627" w14:textId="15DFA8A1" w:rsidR="006D3BAC" w:rsidRPr="00262B60"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Not-for-profit organisation or charity</w:t>
            </w:r>
          </w:p>
        </w:tc>
        <w:tc>
          <w:tcPr>
            <w:tcW w:w="851" w:type="dxa"/>
          </w:tcPr>
          <w:p w14:paraId="6CEBE3A6" w14:textId="77777777" w:rsidR="006D3BAC" w:rsidRPr="00262B60" w:rsidRDefault="006D3BAC" w:rsidP="00355A85">
            <w:pPr>
              <w:spacing w:before="120" w:after="120"/>
              <w:rPr>
                <w:rFonts w:ascii="Arial" w:eastAsia="Calibri" w:hAnsi="Arial" w:cs="Arial"/>
                <w:sz w:val="24"/>
                <w:szCs w:val="24"/>
              </w:rPr>
            </w:pPr>
          </w:p>
        </w:tc>
        <w:tc>
          <w:tcPr>
            <w:tcW w:w="708" w:type="dxa"/>
          </w:tcPr>
          <w:p w14:paraId="30893AF6" w14:textId="77777777" w:rsidR="006D3BAC" w:rsidRPr="00262B60" w:rsidRDefault="006D3BAC" w:rsidP="00355A85">
            <w:pPr>
              <w:spacing w:before="120" w:after="120"/>
              <w:rPr>
                <w:rFonts w:ascii="Arial" w:eastAsia="Calibri" w:hAnsi="Arial" w:cs="Arial"/>
                <w:sz w:val="24"/>
                <w:szCs w:val="24"/>
              </w:rPr>
            </w:pPr>
          </w:p>
        </w:tc>
        <w:tc>
          <w:tcPr>
            <w:tcW w:w="851" w:type="dxa"/>
          </w:tcPr>
          <w:p w14:paraId="1BA7B953" w14:textId="77777777" w:rsidR="006D3BAC" w:rsidRPr="00262B60" w:rsidRDefault="006D3BAC" w:rsidP="00355A85">
            <w:pPr>
              <w:spacing w:before="120" w:after="120"/>
              <w:rPr>
                <w:rFonts w:ascii="Arial" w:eastAsia="Calibri" w:hAnsi="Arial" w:cs="Arial"/>
                <w:sz w:val="24"/>
                <w:szCs w:val="24"/>
              </w:rPr>
            </w:pPr>
          </w:p>
        </w:tc>
      </w:tr>
    </w:tbl>
    <w:p w14:paraId="43C36E3D" w14:textId="521FCC2E" w:rsidR="00E5335E" w:rsidRPr="006F6E39" w:rsidRDefault="00DB2EA0" w:rsidP="2AD8D8AA">
      <w:pPr>
        <w:ind w:left="360"/>
        <w:rPr>
          <w:rFonts w:ascii="Arial" w:hAnsi="Arial" w:cs="Arial"/>
          <w:sz w:val="24"/>
          <w:szCs w:val="24"/>
        </w:rPr>
      </w:pPr>
      <w:r w:rsidRPr="005C20E9">
        <w:rPr>
          <w:rFonts w:ascii="Arial" w:hAnsi="Arial" w:cs="Arial"/>
        </w:rPr>
        <w:br w:type="textWrapping" w:clear="all"/>
      </w:r>
      <w:r w:rsidR="006D3BAC" w:rsidRPr="2AD8D8AA">
        <w:rPr>
          <w:rFonts w:ascii="Arial" w:hAnsi="Arial" w:cs="Arial"/>
          <w:sz w:val="24"/>
          <w:szCs w:val="24"/>
        </w:rPr>
        <w:t>Other (please specify)</w:t>
      </w:r>
    </w:p>
    <w:p w14:paraId="14C2B9A3" w14:textId="60554EF8" w:rsidR="006D3BA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If rating categories were set in legislation, should local governments be permitted to introduce sub-categories within the set categories based on factors such as the type of mining being undertaken, the intensity of the land use or the type of commercial activity?</w:t>
      </w:r>
    </w:p>
    <w:p w14:paraId="428619BF" w14:textId="5972FC5E" w:rsidR="004026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Yes</w:t>
      </w:r>
    </w:p>
    <w:p w14:paraId="2B488AC0" w14:textId="1D175581" w:rsidR="004026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No</w:t>
      </w:r>
    </w:p>
    <w:p w14:paraId="2337E479" w14:textId="7828640E" w:rsidR="004026AC"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Unsure</w:t>
      </w:r>
    </w:p>
    <w:p w14:paraId="40936DF6" w14:textId="187E2853" w:rsidR="004026AC"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What powers should local governments have to recover payment of rates on exploration and prospecting leases?</w:t>
      </w:r>
    </w:p>
    <w:p w14:paraId="3ADDC4A8" w14:textId="052C25ED" w:rsidR="002A643F"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51"/>
        <w:gridCol w:w="850"/>
        <w:gridCol w:w="738"/>
        <w:gridCol w:w="851"/>
        <w:gridCol w:w="850"/>
        <w:gridCol w:w="851"/>
      </w:tblGrid>
      <w:tr w:rsidR="002A643F" w:rsidRPr="007F5D7E" w14:paraId="6F4AB4B8" w14:textId="77777777" w:rsidTr="2AD8D8AA">
        <w:trPr>
          <w:cantSplit/>
          <w:trHeight w:val="2222"/>
        </w:trPr>
        <w:tc>
          <w:tcPr>
            <w:tcW w:w="6366" w:type="dxa"/>
            <w:shd w:val="clear" w:color="auto" w:fill="auto"/>
          </w:tcPr>
          <w:p w14:paraId="76585D57" w14:textId="77777777" w:rsidR="002A643F" w:rsidRPr="007F5D7E" w:rsidRDefault="002A643F" w:rsidP="00180D2E">
            <w:pPr>
              <w:spacing w:before="120" w:after="120"/>
              <w:rPr>
                <w:rFonts w:ascii="Arial" w:eastAsia="Calibri" w:hAnsi="Arial" w:cs="Arial"/>
                <w:sz w:val="24"/>
                <w:szCs w:val="24"/>
              </w:rPr>
            </w:pPr>
          </w:p>
        </w:tc>
        <w:tc>
          <w:tcPr>
            <w:tcW w:w="850" w:type="dxa"/>
            <w:shd w:val="clear" w:color="auto" w:fill="auto"/>
            <w:textDirection w:val="btLr"/>
          </w:tcPr>
          <w:p w14:paraId="3701C3D3" w14:textId="77777777" w:rsidR="002A643F" w:rsidRPr="007F5D7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unsupportive</w:t>
            </w:r>
          </w:p>
        </w:tc>
        <w:tc>
          <w:tcPr>
            <w:tcW w:w="723" w:type="dxa"/>
            <w:shd w:val="clear" w:color="auto" w:fill="auto"/>
            <w:textDirection w:val="btLr"/>
          </w:tcPr>
          <w:p w14:paraId="59C23ACF" w14:textId="77777777" w:rsidR="002A643F" w:rsidRPr="007F5D7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Unsupportive</w:t>
            </w:r>
          </w:p>
        </w:tc>
        <w:tc>
          <w:tcPr>
            <w:tcW w:w="851" w:type="dxa"/>
            <w:shd w:val="clear" w:color="auto" w:fill="auto"/>
            <w:textDirection w:val="btLr"/>
          </w:tcPr>
          <w:p w14:paraId="0B570A25" w14:textId="77777777" w:rsidR="002A643F" w:rsidRPr="007F5D7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Neutral</w:t>
            </w:r>
          </w:p>
        </w:tc>
        <w:tc>
          <w:tcPr>
            <w:tcW w:w="850" w:type="dxa"/>
            <w:shd w:val="clear" w:color="auto" w:fill="auto"/>
            <w:textDirection w:val="btLr"/>
          </w:tcPr>
          <w:p w14:paraId="252CD2FC" w14:textId="77777777" w:rsidR="002A643F" w:rsidRPr="007F5D7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Supportive</w:t>
            </w:r>
          </w:p>
        </w:tc>
        <w:tc>
          <w:tcPr>
            <w:tcW w:w="851" w:type="dxa"/>
            <w:shd w:val="clear" w:color="auto" w:fill="auto"/>
            <w:textDirection w:val="btLr"/>
          </w:tcPr>
          <w:p w14:paraId="43A6C119" w14:textId="383AD7E1" w:rsidR="002A643F" w:rsidRPr="007F5D7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supportive</w:t>
            </w:r>
          </w:p>
        </w:tc>
      </w:tr>
      <w:tr w:rsidR="002A643F" w:rsidRPr="007F5D7E" w14:paraId="2B06A4CF" w14:textId="77777777" w:rsidTr="2AD8D8AA">
        <w:tc>
          <w:tcPr>
            <w:tcW w:w="6366" w:type="dxa"/>
            <w:shd w:val="clear" w:color="auto" w:fill="auto"/>
          </w:tcPr>
          <w:p w14:paraId="2003F27A" w14:textId="14ABE99B" w:rsidR="002A643F" w:rsidRPr="007F5D7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be permitted to rate properties differently based on their location.”</w:t>
            </w:r>
          </w:p>
        </w:tc>
        <w:tc>
          <w:tcPr>
            <w:tcW w:w="850" w:type="dxa"/>
            <w:shd w:val="clear" w:color="auto" w:fill="auto"/>
          </w:tcPr>
          <w:p w14:paraId="527A0112" w14:textId="77777777" w:rsidR="002A643F" w:rsidRPr="007F5D7E" w:rsidRDefault="002A643F" w:rsidP="00180D2E">
            <w:pPr>
              <w:spacing w:before="120" w:after="120"/>
              <w:rPr>
                <w:rFonts w:ascii="Arial" w:eastAsia="Calibri" w:hAnsi="Arial" w:cs="Arial"/>
                <w:sz w:val="24"/>
                <w:szCs w:val="24"/>
              </w:rPr>
            </w:pPr>
          </w:p>
        </w:tc>
        <w:tc>
          <w:tcPr>
            <w:tcW w:w="723" w:type="dxa"/>
            <w:shd w:val="clear" w:color="auto" w:fill="auto"/>
          </w:tcPr>
          <w:p w14:paraId="2D87E5B5"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5184263F" w14:textId="77777777" w:rsidR="002A643F" w:rsidRPr="007F5D7E" w:rsidRDefault="002A643F" w:rsidP="00180D2E">
            <w:pPr>
              <w:spacing w:before="120" w:after="120"/>
              <w:rPr>
                <w:rFonts w:ascii="Arial" w:eastAsia="Calibri" w:hAnsi="Arial" w:cs="Arial"/>
                <w:sz w:val="24"/>
                <w:szCs w:val="24"/>
              </w:rPr>
            </w:pPr>
          </w:p>
        </w:tc>
        <w:tc>
          <w:tcPr>
            <w:tcW w:w="850" w:type="dxa"/>
            <w:shd w:val="clear" w:color="auto" w:fill="auto"/>
          </w:tcPr>
          <w:p w14:paraId="55BC2264"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2D803890" w14:textId="77777777" w:rsidR="002A643F" w:rsidRPr="007F5D7E" w:rsidRDefault="002A643F" w:rsidP="00180D2E">
            <w:pPr>
              <w:spacing w:before="120" w:after="120"/>
              <w:rPr>
                <w:rFonts w:ascii="Arial" w:eastAsia="Calibri" w:hAnsi="Arial" w:cs="Arial"/>
                <w:sz w:val="24"/>
                <w:szCs w:val="24"/>
              </w:rPr>
            </w:pPr>
          </w:p>
        </w:tc>
      </w:tr>
      <w:tr w:rsidR="002A643F" w:rsidRPr="007F5D7E" w14:paraId="50E7C0B2" w14:textId="77777777" w:rsidTr="2AD8D8AA">
        <w:tc>
          <w:tcPr>
            <w:tcW w:w="6366" w:type="dxa"/>
            <w:shd w:val="clear" w:color="auto" w:fill="auto"/>
          </w:tcPr>
          <w:p w14:paraId="38ED7164" w14:textId="4C2B1069" w:rsidR="002A643F" w:rsidRPr="007F5D7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be permitted to rate long term vacant properties differently to land that is being used.”</w:t>
            </w:r>
          </w:p>
        </w:tc>
        <w:tc>
          <w:tcPr>
            <w:tcW w:w="850" w:type="dxa"/>
            <w:shd w:val="clear" w:color="auto" w:fill="auto"/>
          </w:tcPr>
          <w:p w14:paraId="0823DB27" w14:textId="77777777" w:rsidR="002A643F" w:rsidRPr="007F5D7E" w:rsidRDefault="002A643F" w:rsidP="00180D2E">
            <w:pPr>
              <w:spacing w:before="120" w:after="120"/>
              <w:rPr>
                <w:rFonts w:ascii="Arial" w:eastAsia="Calibri" w:hAnsi="Arial" w:cs="Arial"/>
                <w:sz w:val="24"/>
                <w:szCs w:val="24"/>
              </w:rPr>
            </w:pPr>
          </w:p>
        </w:tc>
        <w:tc>
          <w:tcPr>
            <w:tcW w:w="723" w:type="dxa"/>
            <w:shd w:val="clear" w:color="auto" w:fill="auto"/>
          </w:tcPr>
          <w:p w14:paraId="629B2821"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755F6655" w14:textId="77777777" w:rsidR="002A643F" w:rsidRPr="007F5D7E" w:rsidRDefault="002A643F" w:rsidP="00180D2E">
            <w:pPr>
              <w:spacing w:before="120" w:after="120"/>
              <w:rPr>
                <w:rFonts w:ascii="Arial" w:eastAsia="Calibri" w:hAnsi="Arial" w:cs="Arial"/>
                <w:sz w:val="24"/>
                <w:szCs w:val="24"/>
              </w:rPr>
            </w:pPr>
          </w:p>
        </w:tc>
        <w:tc>
          <w:tcPr>
            <w:tcW w:w="850" w:type="dxa"/>
            <w:shd w:val="clear" w:color="auto" w:fill="auto"/>
          </w:tcPr>
          <w:p w14:paraId="67E5BDBE"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73AD0D65" w14:textId="77777777" w:rsidR="002A643F" w:rsidRPr="007F5D7E" w:rsidRDefault="002A643F" w:rsidP="00180D2E">
            <w:pPr>
              <w:spacing w:before="120" w:after="120"/>
              <w:rPr>
                <w:rFonts w:ascii="Arial" w:eastAsia="Calibri" w:hAnsi="Arial" w:cs="Arial"/>
                <w:sz w:val="24"/>
                <w:szCs w:val="24"/>
              </w:rPr>
            </w:pPr>
          </w:p>
        </w:tc>
      </w:tr>
      <w:tr w:rsidR="002A643F" w:rsidRPr="007F5D7E" w14:paraId="3A198F0D" w14:textId="77777777" w:rsidTr="2AD8D8AA">
        <w:tc>
          <w:tcPr>
            <w:tcW w:w="6366" w:type="dxa"/>
            <w:shd w:val="clear" w:color="auto" w:fill="auto"/>
          </w:tcPr>
          <w:p w14:paraId="65D840CE" w14:textId="204B0E11" w:rsidR="002A643F" w:rsidRPr="007F5D7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be permitted to rate holiday houses, timeshare properties or AirBNB properties differently.”</w:t>
            </w:r>
          </w:p>
        </w:tc>
        <w:tc>
          <w:tcPr>
            <w:tcW w:w="850" w:type="dxa"/>
            <w:shd w:val="clear" w:color="auto" w:fill="auto"/>
          </w:tcPr>
          <w:p w14:paraId="343B1E5D" w14:textId="77777777" w:rsidR="002A643F" w:rsidRPr="007F5D7E" w:rsidRDefault="002A643F" w:rsidP="00180D2E">
            <w:pPr>
              <w:spacing w:before="120" w:after="120"/>
              <w:rPr>
                <w:rFonts w:ascii="Arial" w:eastAsia="Calibri" w:hAnsi="Arial" w:cs="Arial"/>
                <w:sz w:val="24"/>
                <w:szCs w:val="24"/>
              </w:rPr>
            </w:pPr>
          </w:p>
        </w:tc>
        <w:tc>
          <w:tcPr>
            <w:tcW w:w="723" w:type="dxa"/>
            <w:shd w:val="clear" w:color="auto" w:fill="auto"/>
          </w:tcPr>
          <w:p w14:paraId="5B08B578"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782694B5" w14:textId="77777777" w:rsidR="002A643F" w:rsidRPr="007F5D7E" w:rsidRDefault="002A643F" w:rsidP="00180D2E">
            <w:pPr>
              <w:spacing w:before="120" w:after="120"/>
              <w:rPr>
                <w:rFonts w:ascii="Arial" w:eastAsia="Calibri" w:hAnsi="Arial" w:cs="Arial"/>
                <w:sz w:val="24"/>
                <w:szCs w:val="24"/>
              </w:rPr>
            </w:pPr>
          </w:p>
        </w:tc>
        <w:tc>
          <w:tcPr>
            <w:tcW w:w="850" w:type="dxa"/>
            <w:shd w:val="clear" w:color="auto" w:fill="auto"/>
          </w:tcPr>
          <w:p w14:paraId="7B23D4F8"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28AE199E" w14:textId="77777777" w:rsidR="002A643F" w:rsidRPr="007F5D7E" w:rsidRDefault="002A643F" w:rsidP="00180D2E">
            <w:pPr>
              <w:spacing w:before="120" w:after="120"/>
              <w:rPr>
                <w:rFonts w:ascii="Arial" w:eastAsia="Calibri" w:hAnsi="Arial" w:cs="Arial"/>
                <w:sz w:val="24"/>
                <w:szCs w:val="24"/>
              </w:rPr>
            </w:pPr>
          </w:p>
        </w:tc>
      </w:tr>
      <w:tr w:rsidR="002A643F" w:rsidRPr="007F5D7E" w14:paraId="4695DDF7" w14:textId="77777777" w:rsidTr="2AD8D8AA">
        <w:tc>
          <w:tcPr>
            <w:tcW w:w="6366" w:type="dxa"/>
            <w:shd w:val="clear" w:color="auto" w:fill="auto"/>
          </w:tcPr>
          <w:p w14:paraId="0191B899" w14:textId="2707B0AE" w:rsidR="002A643F" w:rsidRPr="007F5D7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“A lower rate in the dollar should apply to land used for exploration and prospecting compared to land used for mining.”</w:t>
            </w:r>
          </w:p>
        </w:tc>
        <w:tc>
          <w:tcPr>
            <w:tcW w:w="850" w:type="dxa"/>
            <w:shd w:val="clear" w:color="auto" w:fill="auto"/>
          </w:tcPr>
          <w:p w14:paraId="4E637503" w14:textId="77777777" w:rsidR="002A643F" w:rsidRPr="007F5D7E" w:rsidRDefault="002A643F" w:rsidP="00180D2E">
            <w:pPr>
              <w:spacing w:before="120" w:after="120"/>
              <w:rPr>
                <w:rFonts w:ascii="Arial" w:eastAsia="Calibri" w:hAnsi="Arial" w:cs="Arial"/>
                <w:sz w:val="24"/>
                <w:szCs w:val="24"/>
              </w:rPr>
            </w:pPr>
          </w:p>
        </w:tc>
        <w:tc>
          <w:tcPr>
            <w:tcW w:w="723" w:type="dxa"/>
            <w:shd w:val="clear" w:color="auto" w:fill="auto"/>
          </w:tcPr>
          <w:p w14:paraId="588CCD1B"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2CA56205" w14:textId="77777777" w:rsidR="002A643F" w:rsidRPr="007F5D7E" w:rsidRDefault="002A643F" w:rsidP="00180D2E">
            <w:pPr>
              <w:spacing w:before="120" w:after="120"/>
              <w:rPr>
                <w:rFonts w:ascii="Arial" w:eastAsia="Calibri" w:hAnsi="Arial" w:cs="Arial"/>
                <w:sz w:val="24"/>
                <w:szCs w:val="24"/>
              </w:rPr>
            </w:pPr>
          </w:p>
        </w:tc>
        <w:tc>
          <w:tcPr>
            <w:tcW w:w="850" w:type="dxa"/>
            <w:shd w:val="clear" w:color="auto" w:fill="auto"/>
          </w:tcPr>
          <w:p w14:paraId="5FAE3228" w14:textId="77777777" w:rsidR="002A643F" w:rsidRPr="007F5D7E" w:rsidRDefault="002A643F" w:rsidP="00180D2E">
            <w:pPr>
              <w:spacing w:before="120" w:after="120"/>
              <w:rPr>
                <w:rFonts w:ascii="Arial" w:eastAsia="Calibri" w:hAnsi="Arial" w:cs="Arial"/>
                <w:sz w:val="24"/>
                <w:szCs w:val="24"/>
              </w:rPr>
            </w:pPr>
          </w:p>
        </w:tc>
        <w:tc>
          <w:tcPr>
            <w:tcW w:w="851" w:type="dxa"/>
            <w:shd w:val="clear" w:color="auto" w:fill="auto"/>
          </w:tcPr>
          <w:p w14:paraId="38C7084A" w14:textId="77777777" w:rsidR="002A643F" w:rsidRPr="007F5D7E" w:rsidRDefault="002A643F" w:rsidP="00180D2E">
            <w:pPr>
              <w:spacing w:before="120" w:after="120"/>
              <w:rPr>
                <w:rFonts w:ascii="Arial" w:eastAsia="Calibri" w:hAnsi="Arial" w:cs="Arial"/>
                <w:sz w:val="24"/>
                <w:szCs w:val="24"/>
              </w:rPr>
            </w:pPr>
          </w:p>
        </w:tc>
      </w:tr>
    </w:tbl>
    <w:p w14:paraId="5A9B9368" w14:textId="4C9CD38A" w:rsidR="004026AC" w:rsidRPr="001E734A" w:rsidRDefault="004026AC" w:rsidP="002A643F">
      <w:pPr>
        <w:pStyle w:val="ListParagraph"/>
        <w:rPr>
          <w:rFonts w:ascii="Arial" w:hAnsi="Arial" w:cs="Arial"/>
          <w:sz w:val="24"/>
        </w:rPr>
      </w:pPr>
    </w:p>
    <w:p w14:paraId="376C2E00" w14:textId="0F637C13" w:rsidR="002A643F"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Currently, local governments are required to seek Ministerial approval when seeking to impose a rate in the dollar that is more than twice the lowest of its other rating categories. What is your preferred approach to differential rates?</w:t>
      </w:r>
    </w:p>
    <w:p w14:paraId="769BAE1B" w14:textId="741453FD" w:rsidR="00D106F1"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Ministerial approval for rates twice the lowest category</w:t>
      </w:r>
    </w:p>
    <w:p w14:paraId="74BE161D" w14:textId="40CBE9DF" w:rsidR="00D106F1"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Ministerial approval for rates three times the lowest category</w:t>
      </w:r>
    </w:p>
    <w:p w14:paraId="69D7EB1F" w14:textId="223A6DB8" w:rsidR="00D106F1"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Ministerial approval for rates four times the lowest category</w:t>
      </w:r>
    </w:p>
    <w:p w14:paraId="368FEFA8" w14:textId="2751F38E" w:rsidR="00D106F1"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lastRenderedPageBreak/>
        <w:t>No Ministerial approval required for any differential rates</w:t>
      </w:r>
    </w:p>
    <w:p w14:paraId="0DF96043" w14:textId="1AE95836" w:rsidR="00D106F1"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Differential rates to a maximum of four times may be set with no option for Ministerial approval</w:t>
      </w:r>
    </w:p>
    <w:p w14:paraId="04E9BE00" w14:textId="53C889E5" w:rsidR="00D106F1"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Other (please specify)</w:t>
      </w:r>
    </w:p>
    <w:p w14:paraId="4F5EF7F9" w14:textId="6E01B1B8" w:rsidR="003A6401"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To what extend do you support the following statements?</w:t>
      </w:r>
    </w:p>
    <w:tbl>
      <w:tblPr>
        <w:tblStyle w:val="DLGCTable-Form2"/>
        <w:tblW w:w="10491" w:type="dxa"/>
        <w:tblInd w:w="-431" w:type="dxa"/>
        <w:tblLook w:val="04A0" w:firstRow="1" w:lastRow="0" w:firstColumn="1" w:lastColumn="0" w:noHBand="0" w:noVBand="1"/>
      </w:tblPr>
      <w:tblGrid>
        <w:gridCol w:w="6351"/>
        <w:gridCol w:w="850"/>
        <w:gridCol w:w="738"/>
        <w:gridCol w:w="851"/>
        <w:gridCol w:w="850"/>
        <w:gridCol w:w="851"/>
      </w:tblGrid>
      <w:tr w:rsidR="003A6401" w:rsidRPr="00DE566E" w14:paraId="17DE39F4" w14:textId="77777777" w:rsidTr="2AD8D8AA">
        <w:trPr>
          <w:cantSplit/>
          <w:trHeight w:val="2222"/>
        </w:trPr>
        <w:tc>
          <w:tcPr>
            <w:tcW w:w="6366" w:type="dxa"/>
            <w:shd w:val="clear" w:color="auto" w:fill="auto"/>
          </w:tcPr>
          <w:p w14:paraId="37AB8D2A" w14:textId="77777777" w:rsidR="003A6401" w:rsidRPr="00DE566E" w:rsidRDefault="003A6401" w:rsidP="00930832">
            <w:pPr>
              <w:spacing w:before="120" w:after="120"/>
              <w:rPr>
                <w:rFonts w:ascii="Arial" w:eastAsia="Calibri" w:hAnsi="Arial" w:cs="Arial"/>
                <w:sz w:val="24"/>
                <w:szCs w:val="24"/>
              </w:rPr>
            </w:pPr>
          </w:p>
        </w:tc>
        <w:tc>
          <w:tcPr>
            <w:tcW w:w="850" w:type="dxa"/>
            <w:shd w:val="clear" w:color="auto" w:fill="auto"/>
            <w:textDirection w:val="btLr"/>
          </w:tcPr>
          <w:p w14:paraId="4B535973" w14:textId="77777777"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unsupportive</w:t>
            </w:r>
          </w:p>
        </w:tc>
        <w:tc>
          <w:tcPr>
            <w:tcW w:w="723" w:type="dxa"/>
            <w:shd w:val="clear" w:color="auto" w:fill="auto"/>
            <w:textDirection w:val="btLr"/>
          </w:tcPr>
          <w:p w14:paraId="579B7EC5" w14:textId="77777777"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Unsupportive</w:t>
            </w:r>
          </w:p>
        </w:tc>
        <w:tc>
          <w:tcPr>
            <w:tcW w:w="851" w:type="dxa"/>
            <w:shd w:val="clear" w:color="auto" w:fill="auto"/>
            <w:textDirection w:val="btLr"/>
          </w:tcPr>
          <w:p w14:paraId="035B3E49" w14:textId="77777777"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Neutral</w:t>
            </w:r>
          </w:p>
        </w:tc>
        <w:tc>
          <w:tcPr>
            <w:tcW w:w="850" w:type="dxa"/>
            <w:shd w:val="clear" w:color="auto" w:fill="auto"/>
            <w:textDirection w:val="btLr"/>
          </w:tcPr>
          <w:p w14:paraId="5E712D84" w14:textId="77777777"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Supportive</w:t>
            </w:r>
          </w:p>
        </w:tc>
        <w:tc>
          <w:tcPr>
            <w:tcW w:w="851" w:type="dxa"/>
            <w:shd w:val="clear" w:color="auto" w:fill="auto"/>
            <w:textDirection w:val="btLr"/>
          </w:tcPr>
          <w:p w14:paraId="36EC073B" w14:textId="79219212"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supportive</w:t>
            </w:r>
          </w:p>
        </w:tc>
      </w:tr>
      <w:tr w:rsidR="003A6401" w:rsidRPr="00DE566E" w14:paraId="25E1A868" w14:textId="77777777" w:rsidTr="2AD8D8AA">
        <w:tc>
          <w:tcPr>
            <w:tcW w:w="6366" w:type="dxa"/>
            <w:shd w:val="clear" w:color="auto" w:fill="auto"/>
          </w:tcPr>
          <w:p w14:paraId="4361FF1C" w14:textId="6DCC4F13" w:rsidR="003A6401"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“All land should be subject to rates.”</w:t>
            </w:r>
          </w:p>
        </w:tc>
        <w:tc>
          <w:tcPr>
            <w:tcW w:w="850" w:type="dxa"/>
            <w:shd w:val="clear" w:color="auto" w:fill="auto"/>
          </w:tcPr>
          <w:p w14:paraId="2184BB3A" w14:textId="77777777" w:rsidR="003A6401" w:rsidRPr="00DE566E" w:rsidRDefault="003A6401" w:rsidP="00930832">
            <w:pPr>
              <w:spacing w:before="120" w:after="120"/>
              <w:rPr>
                <w:rFonts w:ascii="Arial" w:eastAsia="Calibri" w:hAnsi="Arial" w:cs="Arial"/>
                <w:sz w:val="24"/>
                <w:szCs w:val="24"/>
              </w:rPr>
            </w:pPr>
          </w:p>
        </w:tc>
        <w:tc>
          <w:tcPr>
            <w:tcW w:w="723" w:type="dxa"/>
            <w:shd w:val="clear" w:color="auto" w:fill="auto"/>
          </w:tcPr>
          <w:p w14:paraId="7C0F62AE"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75499968" w14:textId="77777777" w:rsidR="003A6401" w:rsidRPr="00DE566E" w:rsidRDefault="003A6401" w:rsidP="00930832">
            <w:pPr>
              <w:spacing w:before="120" w:after="120"/>
              <w:rPr>
                <w:rFonts w:ascii="Arial" w:eastAsia="Calibri" w:hAnsi="Arial" w:cs="Arial"/>
                <w:sz w:val="24"/>
                <w:szCs w:val="24"/>
              </w:rPr>
            </w:pPr>
          </w:p>
        </w:tc>
        <w:tc>
          <w:tcPr>
            <w:tcW w:w="850" w:type="dxa"/>
            <w:shd w:val="clear" w:color="auto" w:fill="auto"/>
          </w:tcPr>
          <w:p w14:paraId="238F0FB6"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425A865E" w14:textId="77777777" w:rsidR="003A6401" w:rsidRPr="00DE566E" w:rsidRDefault="003A6401" w:rsidP="00930832">
            <w:pPr>
              <w:spacing w:before="120" w:after="120"/>
              <w:rPr>
                <w:rFonts w:ascii="Arial" w:eastAsia="Calibri" w:hAnsi="Arial" w:cs="Arial"/>
                <w:sz w:val="24"/>
                <w:szCs w:val="24"/>
              </w:rPr>
            </w:pPr>
          </w:p>
        </w:tc>
      </w:tr>
      <w:tr w:rsidR="003A6401" w:rsidRPr="00DE566E" w14:paraId="5A361A78" w14:textId="77777777" w:rsidTr="2AD8D8AA">
        <w:tc>
          <w:tcPr>
            <w:tcW w:w="6366" w:type="dxa"/>
            <w:shd w:val="clear" w:color="auto" w:fill="auto"/>
          </w:tcPr>
          <w:p w14:paraId="5D06529B" w14:textId="5DA56AAD" w:rsidR="003A6401"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types of land subject to rates should be consistent between local governments.”</w:t>
            </w:r>
          </w:p>
        </w:tc>
        <w:tc>
          <w:tcPr>
            <w:tcW w:w="850" w:type="dxa"/>
            <w:shd w:val="clear" w:color="auto" w:fill="auto"/>
          </w:tcPr>
          <w:p w14:paraId="569BE052" w14:textId="77777777" w:rsidR="003A6401" w:rsidRPr="00DE566E" w:rsidRDefault="003A6401" w:rsidP="00930832">
            <w:pPr>
              <w:spacing w:before="120" w:after="120"/>
              <w:rPr>
                <w:rFonts w:ascii="Arial" w:eastAsia="Calibri" w:hAnsi="Arial" w:cs="Arial"/>
                <w:sz w:val="24"/>
                <w:szCs w:val="24"/>
              </w:rPr>
            </w:pPr>
          </w:p>
        </w:tc>
        <w:tc>
          <w:tcPr>
            <w:tcW w:w="723" w:type="dxa"/>
            <w:shd w:val="clear" w:color="auto" w:fill="auto"/>
          </w:tcPr>
          <w:p w14:paraId="34F985BA"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638C058A" w14:textId="77777777" w:rsidR="003A6401" w:rsidRPr="00DE566E" w:rsidRDefault="003A6401" w:rsidP="00930832">
            <w:pPr>
              <w:spacing w:before="120" w:after="120"/>
              <w:rPr>
                <w:rFonts w:ascii="Arial" w:eastAsia="Calibri" w:hAnsi="Arial" w:cs="Arial"/>
                <w:sz w:val="24"/>
                <w:szCs w:val="24"/>
              </w:rPr>
            </w:pPr>
          </w:p>
        </w:tc>
        <w:tc>
          <w:tcPr>
            <w:tcW w:w="850" w:type="dxa"/>
            <w:shd w:val="clear" w:color="auto" w:fill="auto"/>
          </w:tcPr>
          <w:p w14:paraId="0DBD583A"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33EE5B6C" w14:textId="77777777" w:rsidR="003A6401" w:rsidRPr="00DE566E" w:rsidRDefault="003A6401" w:rsidP="00930832">
            <w:pPr>
              <w:spacing w:before="120" w:after="120"/>
              <w:rPr>
                <w:rFonts w:ascii="Arial" w:eastAsia="Calibri" w:hAnsi="Arial" w:cs="Arial"/>
                <w:sz w:val="24"/>
                <w:szCs w:val="24"/>
              </w:rPr>
            </w:pPr>
          </w:p>
        </w:tc>
      </w:tr>
    </w:tbl>
    <w:p w14:paraId="4BB3FF94" w14:textId="77777777" w:rsidR="003A6401" w:rsidRPr="005C20E9" w:rsidRDefault="003A6401" w:rsidP="003A6401">
      <w:pPr>
        <w:pStyle w:val="ListParagraph"/>
        <w:rPr>
          <w:rFonts w:ascii="Arial" w:hAnsi="Arial" w:cs="Arial"/>
        </w:rPr>
      </w:pPr>
    </w:p>
    <w:p w14:paraId="6FB04220" w14:textId="238E0635" w:rsidR="003A6401"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Should the following types of land be subject to rates?</w:t>
      </w:r>
    </w:p>
    <w:tbl>
      <w:tblPr>
        <w:tblStyle w:val="DLGCTable-Form2"/>
        <w:tblpPr w:leftFromText="180" w:rightFromText="180" w:vertAnchor="text" w:tblpX="-431" w:tblpY="1"/>
        <w:tblOverlap w:val="never"/>
        <w:tblW w:w="9221" w:type="dxa"/>
        <w:tblLook w:val="04A0" w:firstRow="1" w:lastRow="0" w:firstColumn="1" w:lastColumn="0" w:noHBand="0" w:noVBand="1"/>
      </w:tblPr>
      <w:tblGrid>
        <w:gridCol w:w="6782"/>
        <w:gridCol w:w="850"/>
        <w:gridCol w:w="738"/>
        <w:gridCol w:w="851"/>
      </w:tblGrid>
      <w:tr w:rsidR="003A6401" w:rsidRPr="00DE566E" w14:paraId="0CE3415B" w14:textId="77777777" w:rsidTr="2AD8D8AA">
        <w:trPr>
          <w:cantSplit/>
          <w:trHeight w:val="984"/>
        </w:trPr>
        <w:tc>
          <w:tcPr>
            <w:tcW w:w="6797" w:type="dxa"/>
            <w:shd w:val="clear" w:color="auto" w:fill="auto"/>
          </w:tcPr>
          <w:p w14:paraId="08313B7F" w14:textId="77777777" w:rsidR="003A6401" w:rsidRPr="00DE566E" w:rsidRDefault="003A6401" w:rsidP="00930832">
            <w:pPr>
              <w:spacing w:before="120" w:after="120"/>
              <w:rPr>
                <w:rFonts w:ascii="Arial" w:eastAsia="Calibri" w:hAnsi="Arial" w:cs="Arial"/>
                <w:sz w:val="24"/>
                <w:szCs w:val="24"/>
              </w:rPr>
            </w:pPr>
          </w:p>
        </w:tc>
        <w:tc>
          <w:tcPr>
            <w:tcW w:w="850" w:type="dxa"/>
            <w:shd w:val="clear" w:color="auto" w:fill="auto"/>
            <w:textDirection w:val="btLr"/>
          </w:tcPr>
          <w:p w14:paraId="63C424EB" w14:textId="287A44DC"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Yes</w:t>
            </w:r>
          </w:p>
        </w:tc>
        <w:tc>
          <w:tcPr>
            <w:tcW w:w="723" w:type="dxa"/>
            <w:shd w:val="clear" w:color="auto" w:fill="auto"/>
            <w:textDirection w:val="btLr"/>
          </w:tcPr>
          <w:p w14:paraId="76C92488" w14:textId="3760846D"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No</w:t>
            </w:r>
          </w:p>
        </w:tc>
        <w:tc>
          <w:tcPr>
            <w:tcW w:w="851" w:type="dxa"/>
            <w:shd w:val="clear" w:color="auto" w:fill="auto"/>
            <w:textDirection w:val="btLr"/>
          </w:tcPr>
          <w:p w14:paraId="1D8B7B75" w14:textId="0CCFBD27" w:rsidR="003A6401"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Unsure</w:t>
            </w:r>
          </w:p>
        </w:tc>
      </w:tr>
      <w:tr w:rsidR="003A6401" w:rsidRPr="00DE566E" w14:paraId="49A04684" w14:textId="77777777" w:rsidTr="2AD8D8AA">
        <w:tc>
          <w:tcPr>
            <w:tcW w:w="6797" w:type="dxa"/>
            <w:shd w:val="clear" w:color="auto" w:fill="auto"/>
          </w:tcPr>
          <w:p w14:paraId="054F060C" w14:textId="61B5C6BE" w:rsidR="003A6401"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owned by the Crown that is used or held for a public purpose</w:t>
            </w:r>
          </w:p>
        </w:tc>
        <w:tc>
          <w:tcPr>
            <w:tcW w:w="850" w:type="dxa"/>
            <w:shd w:val="clear" w:color="auto" w:fill="auto"/>
          </w:tcPr>
          <w:p w14:paraId="43A7A07F" w14:textId="77777777" w:rsidR="003A6401" w:rsidRPr="00DE566E" w:rsidRDefault="003A6401" w:rsidP="00930832">
            <w:pPr>
              <w:spacing w:before="120" w:after="120"/>
              <w:rPr>
                <w:rFonts w:ascii="Arial" w:eastAsia="Calibri" w:hAnsi="Arial" w:cs="Arial"/>
                <w:sz w:val="24"/>
                <w:szCs w:val="24"/>
              </w:rPr>
            </w:pPr>
          </w:p>
        </w:tc>
        <w:tc>
          <w:tcPr>
            <w:tcW w:w="723" w:type="dxa"/>
            <w:shd w:val="clear" w:color="auto" w:fill="auto"/>
          </w:tcPr>
          <w:p w14:paraId="10C51370"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7387675B" w14:textId="77777777" w:rsidR="003A6401" w:rsidRPr="00DE566E" w:rsidRDefault="003A6401" w:rsidP="00930832">
            <w:pPr>
              <w:spacing w:before="120" w:after="120"/>
              <w:rPr>
                <w:rFonts w:ascii="Arial" w:eastAsia="Calibri" w:hAnsi="Arial" w:cs="Arial"/>
                <w:sz w:val="24"/>
                <w:szCs w:val="24"/>
              </w:rPr>
            </w:pPr>
          </w:p>
        </w:tc>
      </w:tr>
      <w:tr w:rsidR="003A6401" w:rsidRPr="00DE566E" w14:paraId="635D792E" w14:textId="77777777" w:rsidTr="2AD8D8AA">
        <w:tc>
          <w:tcPr>
            <w:tcW w:w="6797" w:type="dxa"/>
            <w:shd w:val="clear" w:color="auto" w:fill="auto"/>
          </w:tcPr>
          <w:p w14:paraId="24BE1A95" w14:textId="2BAFB47B" w:rsidR="003A6401"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used or held exclusively for churches (religious bodies)</w:t>
            </w:r>
          </w:p>
        </w:tc>
        <w:tc>
          <w:tcPr>
            <w:tcW w:w="850" w:type="dxa"/>
            <w:shd w:val="clear" w:color="auto" w:fill="auto"/>
          </w:tcPr>
          <w:p w14:paraId="2C0E9DCC" w14:textId="77777777" w:rsidR="003A6401" w:rsidRPr="00DE566E" w:rsidRDefault="003A6401" w:rsidP="00930832">
            <w:pPr>
              <w:spacing w:before="120" w:after="120"/>
              <w:rPr>
                <w:rFonts w:ascii="Arial" w:eastAsia="Calibri" w:hAnsi="Arial" w:cs="Arial"/>
                <w:sz w:val="24"/>
                <w:szCs w:val="24"/>
              </w:rPr>
            </w:pPr>
          </w:p>
        </w:tc>
        <w:tc>
          <w:tcPr>
            <w:tcW w:w="723" w:type="dxa"/>
            <w:shd w:val="clear" w:color="auto" w:fill="auto"/>
          </w:tcPr>
          <w:p w14:paraId="47C86284"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6D783FC3" w14:textId="77777777" w:rsidR="003A6401" w:rsidRPr="00DE566E" w:rsidRDefault="003A6401" w:rsidP="00930832">
            <w:pPr>
              <w:spacing w:before="120" w:after="120"/>
              <w:rPr>
                <w:rFonts w:ascii="Arial" w:eastAsia="Calibri" w:hAnsi="Arial" w:cs="Arial"/>
                <w:sz w:val="24"/>
                <w:szCs w:val="24"/>
              </w:rPr>
            </w:pPr>
          </w:p>
        </w:tc>
      </w:tr>
      <w:tr w:rsidR="003A6401" w:rsidRPr="00DE566E" w14:paraId="2D655588" w14:textId="77777777" w:rsidTr="2AD8D8AA">
        <w:tc>
          <w:tcPr>
            <w:tcW w:w="6797" w:type="dxa"/>
            <w:shd w:val="clear" w:color="auto" w:fill="auto"/>
          </w:tcPr>
          <w:p w14:paraId="13FECD07" w14:textId="51E8EFF6" w:rsidR="003A6401"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used or held exclusively for schools</w:t>
            </w:r>
          </w:p>
        </w:tc>
        <w:tc>
          <w:tcPr>
            <w:tcW w:w="850" w:type="dxa"/>
            <w:shd w:val="clear" w:color="auto" w:fill="auto"/>
          </w:tcPr>
          <w:p w14:paraId="310C4DED" w14:textId="77777777" w:rsidR="003A6401" w:rsidRPr="00DE566E" w:rsidRDefault="003A6401" w:rsidP="00930832">
            <w:pPr>
              <w:spacing w:before="120" w:after="120"/>
              <w:rPr>
                <w:rFonts w:ascii="Arial" w:eastAsia="Calibri" w:hAnsi="Arial" w:cs="Arial"/>
                <w:sz w:val="24"/>
                <w:szCs w:val="24"/>
              </w:rPr>
            </w:pPr>
          </w:p>
        </w:tc>
        <w:tc>
          <w:tcPr>
            <w:tcW w:w="723" w:type="dxa"/>
            <w:shd w:val="clear" w:color="auto" w:fill="auto"/>
          </w:tcPr>
          <w:p w14:paraId="40164268"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30FE6A4C" w14:textId="77777777" w:rsidR="003A6401" w:rsidRPr="00DE566E" w:rsidRDefault="003A6401" w:rsidP="00930832">
            <w:pPr>
              <w:spacing w:before="120" w:after="120"/>
              <w:rPr>
                <w:rFonts w:ascii="Arial" w:eastAsia="Calibri" w:hAnsi="Arial" w:cs="Arial"/>
                <w:sz w:val="24"/>
                <w:szCs w:val="24"/>
              </w:rPr>
            </w:pPr>
          </w:p>
        </w:tc>
      </w:tr>
      <w:tr w:rsidR="003A6401" w:rsidRPr="00DE566E" w14:paraId="3374AB1C" w14:textId="77777777" w:rsidTr="2AD8D8AA">
        <w:tc>
          <w:tcPr>
            <w:tcW w:w="6797" w:type="dxa"/>
            <w:shd w:val="clear" w:color="auto" w:fill="auto"/>
          </w:tcPr>
          <w:p w14:paraId="238F14D4" w14:textId="25E25C77" w:rsidR="003A6401"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used exclusively for charitable purposes</w:t>
            </w:r>
          </w:p>
        </w:tc>
        <w:tc>
          <w:tcPr>
            <w:tcW w:w="850" w:type="dxa"/>
            <w:shd w:val="clear" w:color="auto" w:fill="auto"/>
          </w:tcPr>
          <w:p w14:paraId="431EDB5D" w14:textId="77777777" w:rsidR="003A6401" w:rsidRPr="00DE566E" w:rsidRDefault="003A6401" w:rsidP="00930832">
            <w:pPr>
              <w:spacing w:before="120" w:after="120"/>
              <w:rPr>
                <w:rFonts w:ascii="Arial" w:eastAsia="Calibri" w:hAnsi="Arial" w:cs="Arial"/>
                <w:sz w:val="24"/>
                <w:szCs w:val="24"/>
              </w:rPr>
            </w:pPr>
          </w:p>
        </w:tc>
        <w:tc>
          <w:tcPr>
            <w:tcW w:w="723" w:type="dxa"/>
            <w:shd w:val="clear" w:color="auto" w:fill="auto"/>
          </w:tcPr>
          <w:p w14:paraId="11D24A2B"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4B73FCC2" w14:textId="77777777" w:rsidR="003A6401" w:rsidRPr="00DE566E" w:rsidRDefault="003A6401" w:rsidP="00930832">
            <w:pPr>
              <w:spacing w:before="120" w:after="120"/>
              <w:rPr>
                <w:rFonts w:ascii="Arial" w:eastAsia="Calibri" w:hAnsi="Arial" w:cs="Arial"/>
                <w:sz w:val="24"/>
                <w:szCs w:val="24"/>
              </w:rPr>
            </w:pPr>
          </w:p>
        </w:tc>
      </w:tr>
      <w:tr w:rsidR="003A6401" w:rsidRPr="00DE566E" w14:paraId="6623D41D" w14:textId="77777777" w:rsidTr="2AD8D8AA">
        <w:tc>
          <w:tcPr>
            <w:tcW w:w="6797" w:type="dxa"/>
            <w:shd w:val="clear" w:color="auto" w:fill="auto"/>
          </w:tcPr>
          <w:p w14:paraId="1DD51030" w14:textId="63C9B5A3" w:rsidR="003A6401"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vested in trustees for agriculture or horticultural show purposes</w:t>
            </w:r>
          </w:p>
        </w:tc>
        <w:tc>
          <w:tcPr>
            <w:tcW w:w="850" w:type="dxa"/>
            <w:shd w:val="clear" w:color="auto" w:fill="auto"/>
          </w:tcPr>
          <w:p w14:paraId="11DAD210" w14:textId="77777777" w:rsidR="003A6401" w:rsidRPr="00DE566E" w:rsidRDefault="003A6401" w:rsidP="00930832">
            <w:pPr>
              <w:spacing w:before="120" w:after="120"/>
              <w:rPr>
                <w:rFonts w:ascii="Arial" w:eastAsia="Calibri" w:hAnsi="Arial" w:cs="Arial"/>
                <w:sz w:val="24"/>
                <w:szCs w:val="24"/>
              </w:rPr>
            </w:pPr>
          </w:p>
        </w:tc>
        <w:tc>
          <w:tcPr>
            <w:tcW w:w="723" w:type="dxa"/>
            <w:shd w:val="clear" w:color="auto" w:fill="auto"/>
          </w:tcPr>
          <w:p w14:paraId="12B97460" w14:textId="77777777" w:rsidR="003A6401" w:rsidRPr="00DE566E" w:rsidRDefault="003A6401" w:rsidP="00930832">
            <w:pPr>
              <w:spacing w:before="120" w:after="120"/>
              <w:rPr>
                <w:rFonts w:ascii="Arial" w:eastAsia="Calibri" w:hAnsi="Arial" w:cs="Arial"/>
                <w:sz w:val="24"/>
                <w:szCs w:val="24"/>
              </w:rPr>
            </w:pPr>
          </w:p>
        </w:tc>
        <w:tc>
          <w:tcPr>
            <w:tcW w:w="851" w:type="dxa"/>
            <w:shd w:val="clear" w:color="auto" w:fill="auto"/>
          </w:tcPr>
          <w:p w14:paraId="6FB24211" w14:textId="473F2C0A" w:rsidR="00A97D95" w:rsidRPr="00DE566E" w:rsidRDefault="00A97D95" w:rsidP="00930832">
            <w:pPr>
              <w:spacing w:before="120" w:after="120"/>
              <w:rPr>
                <w:rFonts w:ascii="Arial" w:eastAsia="Calibri" w:hAnsi="Arial" w:cs="Arial"/>
                <w:sz w:val="24"/>
                <w:szCs w:val="24"/>
              </w:rPr>
            </w:pPr>
          </w:p>
        </w:tc>
      </w:tr>
      <w:tr w:rsidR="00A97D95" w:rsidRPr="00DE566E" w14:paraId="32D88EB5" w14:textId="77777777" w:rsidTr="2AD8D8AA">
        <w:tc>
          <w:tcPr>
            <w:tcW w:w="6797" w:type="dxa"/>
            <w:shd w:val="clear" w:color="auto" w:fill="auto"/>
          </w:tcPr>
          <w:p w14:paraId="26188AFB" w14:textId="203CD530"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owned by Co-operative Bulk Handling Limited (CBH)</w:t>
            </w:r>
          </w:p>
        </w:tc>
        <w:tc>
          <w:tcPr>
            <w:tcW w:w="850" w:type="dxa"/>
            <w:shd w:val="clear" w:color="auto" w:fill="auto"/>
          </w:tcPr>
          <w:p w14:paraId="16987DAD" w14:textId="77777777" w:rsidR="00A97D95" w:rsidRPr="00DE566E" w:rsidRDefault="00A97D95" w:rsidP="00930832">
            <w:pPr>
              <w:spacing w:before="120" w:after="120"/>
              <w:rPr>
                <w:rFonts w:ascii="Arial" w:eastAsia="Calibri" w:hAnsi="Arial" w:cs="Arial"/>
                <w:sz w:val="24"/>
                <w:szCs w:val="24"/>
              </w:rPr>
            </w:pPr>
          </w:p>
        </w:tc>
        <w:tc>
          <w:tcPr>
            <w:tcW w:w="723" w:type="dxa"/>
            <w:shd w:val="clear" w:color="auto" w:fill="auto"/>
          </w:tcPr>
          <w:p w14:paraId="731A1C0D" w14:textId="77777777" w:rsidR="00A97D95" w:rsidRPr="00DE566E" w:rsidRDefault="00A97D95" w:rsidP="00930832">
            <w:pPr>
              <w:spacing w:before="120" w:after="120"/>
              <w:rPr>
                <w:rFonts w:ascii="Arial" w:eastAsia="Calibri" w:hAnsi="Arial" w:cs="Arial"/>
                <w:sz w:val="24"/>
                <w:szCs w:val="24"/>
              </w:rPr>
            </w:pPr>
          </w:p>
        </w:tc>
        <w:tc>
          <w:tcPr>
            <w:tcW w:w="851" w:type="dxa"/>
            <w:shd w:val="clear" w:color="auto" w:fill="auto"/>
          </w:tcPr>
          <w:p w14:paraId="4BB3267E" w14:textId="77777777" w:rsidR="00A97D95" w:rsidRPr="00DE566E" w:rsidRDefault="00A97D95" w:rsidP="00930832">
            <w:pPr>
              <w:spacing w:before="120" w:after="120"/>
              <w:rPr>
                <w:rFonts w:ascii="Arial" w:eastAsia="Calibri" w:hAnsi="Arial" w:cs="Arial"/>
                <w:sz w:val="24"/>
                <w:szCs w:val="24"/>
              </w:rPr>
            </w:pPr>
          </w:p>
        </w:tc>
      </w:tr>
      <w:tr w:rsidR="00A97D95" w:rsidRPr="00DE566E" w14:paraId="181ABCCF" w14:textId="77777777" w:rsidTr="2AD8D8AA">
        <w:tc>
          <w:tcPr>
            <w:tcW w:w="6797" w:type="dxa"/>
            <w:shd w:val="clear" w:color="auto" w:fill="auto"/>
          </w:tcPr>
          <w:p w14:paraId="14F939C9" w14:textId="17125E9C"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used primarily as a place of residence (no matter who owns the land)</w:t>
            </w:r>
          </w:p>
        </w:tc>
        <w:tc>
          <w:tcPr>
            <w:tcW w:w="850" w:type="dxa"/>
            <w:shd w:val="clear" w:color="auto" w:fill="auto"/>
          </w:tcPr>
          <w:p w14:paraId="382AA086" w14:textId="77777777" w:rsidR="00A97D95" w:rsidRPr="00DE566E" w:rsidRDefault="00A97D95" w:rsidP="00930832">
            <w:pPr>
              <w:spacing w:before="120" w:after="120"/>
              <w:rPr>
                <w:rFonts w:ascii="Arial" w:eastAsia="Calibri" w:hAnsi="Arial" w:cs="Arial"/>
                <w:sz w:val="24"/>
                <w:szCs w:val="24"/>
              </w:rPr>
            </w:pPr>
          </w:p>
        </w:tc>
        <w:tc>
          <w:tcPr>
            <w:tcW w:w="723" w:type="dxa"/>
            <w:shd w:val="clear" w:color="auto" w:fill="auto"/>
          </w:tcPr>
          <w:p w14:paraId="565CF99D" w14:textId="77777777" w:rsidR="00A97D95" w:rsidRPr="00DE566E" w:rsidRDefault="00A97D95" w:rsidP="00930832">
            <w:pPr>
              <w:spacing w:before="120" w:after="120"/>
              <w:rPr>
                <w:rFonts w:ascii="Arial" w:eastAsia="Calibri" w:hAnsi="Arial" w:cs="Arial"/>
                <w:sz w:val="24"/>
                <w:szCs w:val="24"/>
              </w:rPr>
            </w:pPr>
          </w:p>
        </w:tc>
        <w:tc>
          <w:tcPr>
            <w:tcW w:w="851" w:type="dxa"/>
            <w:shd w:val="clear" w:color="auto" w:fill="auto"/>
          </w:tcPr>
          <w:p w14:paraId="47E0DA12" w14:textId="77777777" w:rsidR="00A97D95" w:rsidRPr="00DE566E" w:rsidRDefault="00A97D95" w:rsidP="00930832">
            <w:pPr>
              <w:spacing w:before="120" w:after="120"/>
              <w:rPr>
                <w:rFonts w:ascii="Arial" w:eastAsia="Calibri" w:hAnsi="Arial" w:cs="Arial"/>
                <w:sz w:val="24"/>
                <w:szCs w:val="24"/>
              </w:rPr>
            </w:pPr>
          </w:p>
        </w:tc>
      </w:tr>
      <w:tr w:rsidR="00A97D95" w:rsidRPr="00DE566E" w14:paraId="4467A33B" w14:textId="77777777" w:rsidTr="2AD8D8AA">
        <w:tc>
          <w:tcPr>
            <w:tcW w:w="6797" w:type="dxa"/>
            <w:shd w:val="clear" w:color="auto" w:fill="auto"/>
          </w:tcPr>
          <w:p w14:paraId="348FC847" w14:textId="1DB75EB9"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used for mining exploration or prospecting</w:t>
            </w:r>
          </w:p>
        </w:tc>
        <w:tc>
          <w:tcPr>
            <w:tcW w:w="850" w:type="dxa"/>
            <w:shd w:val="clear" w:color="auto" w:fill="auto"/>
          </w:tcPr>
          <w:p w14:paraId="0B030C4F" w14:textId="77777777" w:rsidR="00A97D95" w:rsidRPr="00DE566E" w:rsidRDefault="00A97D95" w:rsidP="00930832">
            <w:pPr>
              <w:spacing w:before="120" w:after="120"/>
              <w:rPr>
                <w:rFonts w:ascii="Arial" w:eastAsia="Calibri" w:hAnsi="Arial" w:cs="Arial"/>
                <w:sz w:val="24"/>
                <w:szCs w:val="24"/>
              </w:rPr>
            </w:pPr>
          </w:p>
        </w:tc>
        <w:tc>
          <w:tcPr>
            <w:tcW w:w="723" w:type="dxa"/>
            <w:shd w:val="clear" w:color="auto" w:fill="auto"/>
          </w:tcPr>
          <w:p w14:paraId="0EFBF53D" w14:textId="77777777" w:rsidR="00A97D95" w:rsidRPr="00DE566E" w:rsidRDefault="00A97D95" w:rsidP="00930832">
            <w:pPr>
              <w:spacing w:before="120" w:after="120"/>
              <w:rPr>
                <w:rFonts w:ascii="Arial" w:eastAsia="Calibri" w:hAnsi="Arial" w:cs="Arial"/>
                <w:sz w:val="24"/>
                <w:szCs w:val="24"/>
              </w:rPr>
            </w:pPr>
          </w:p>
        </w:tc>
        <w:tc>
          <w:tcPr>
            <w:tcW w:w="851" w:type="dxa"/>
            <w:shd w:val="clear" w:color="auto" w:fill="auto"/>
          </w:tcPr>
          <w:p w14:paraId="72FBE406" w14:textId="77777777" w:rsidR="00A97D95" w:rsidRPr="00DE566E" w:rsidRDefault="00A97D95" w:rsidP="00930832">
            <w:pPr>
              <w:spacing w:before="120" w:after="120"/>
              <w:rPr>
                <w:rFonts w:ascii="Arial" w:eastAsia="Calibri" w:hAnsi="Arial" w:cs="Arial"/>
                <w:sz w:val="24"/>
                <w:szCs w:val="24"/>
              </w:rPr>
            </w:pPr>
          </w:p>
        </w:tc>
      </w:tr>
      <w:tr w:rsidR="00A97D95" w:rsidRPr="00DE566E" w14:paraId="502C2715" w14:textId="77777777" w:rsidTr="2AD8D8AA">
        <w:tc>
          <w:tcPr>
            <w:tcW w:w="6797" w:type="dxa"/>
            <w:shd w:val="clear" w:color="auto" w:fill="auto"/>
          </w:tcPr>
          <w:p w14:paraId="09765032" w14:textId="12471B71"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Aged care facilities</w:t>
            </w:r>
          </w:p>
        </w:tc>
        <w:tc>
          <w:tcPr>
            <w:tcW w:w="850" w:type="dxa"/>
            <w:shd w:val="clear" w:color="auto" w:fill="auto"/>
          </w:tcPr>
          <w:p w14:paraId="1AEF4EAE" w14:textId="77777777" w:rsidR="00A97D95" w:rsidRPr="00DE566E" w:rsidRDefault="00A97D95" w:rsidP="00930832">
            <w:pPr>
              <w:spacing w:before="120" w:after="120"/>
              <w:rPr>
                <w:rFonts w:ascii="Arial" w:eastAsia="Calibri" w:hAnsi="Arial" w:cs="Arial"/>
                <w:sz w:val="24"/>
                <w:szCs w:val="24"/>
              </w:rPr>
            </w:pPr>
          </w:p>
        </w:tc>
        <w:tc>
          <w:tcPr>
            <w:tcW w:w="723" w:type="dxa"/>
            <w:shd w:val="clear" w:color="auto" w:fill="auto"/>
          </w:tcPr>
          <w:p w14:paraId="69AA2BBF" w14:textId="77777777" w:rsidR="00A97D95" w:rsidRPr="00DE566E" w:rsidRDefault="00A97D95" w:rsidP="00930832">
            <w:pPr>
              <w:spacing w:before="120" w:after="120"/>
              <w:rPr>
                <w:rFonts w:ascii="Arial" w:eastAsia="Calibri" w:hAnsi="Arial" w:cs="Arial"/>
                <w:sz w:val="24"/>
                <w:szCs w:val="24"/>
              </w:rPr>
            </w:pPr>
          </w:p>
        </w:tc>
        <w:tc>
          <w:tcPr>
            <w:tcW w:w="851" w:type="dxa"/>
            <w:shd w:val="clear" w:color="auto" w:fill="auto"/>
          </w:tcPr>
          <w:p w14:paraId="405D239D" w14:textId="77777777" w:rsidR="00A97D95" w:rsidRPr="00DE566E" w:rsidRDefault="00A97D95" w:rsidP="00930832">
            <w:pPr>
              <w:spacing w:before="120" w:after="120"/>
              <w:rPr>
                <w:rFonts w:ascii="Arial" w:eastAsia="Calibri" w:hAnsi="Arial" w:cs="Arial"/>
                <w:sz w:val="24"/>
                <w:szCs w:val="24"/>
              </w:rPr>
            </w:pPr>
          </w:p>
        </w:tc>
      </w:tr>
      <w:tr w:rsidR="00A97D95" w:rsidRPr="00DE566E" w14:paraId="071D70CE" w14:textId="77777777" w:rsidTr="2AD8D8AA">
        <w:tc>
          <w:tcPr>
            <w:tcW w:w="6797" w:type="dxa"/>
            <w:shd w:val="clear" w:color="auto" w:fill="auto"/>
          </w:tcPr>
          <w:p w14:paraId="62A5020F" w14:textId="7DC454D1"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Child care facilities</w:t>
            </w:r>
          </w:p>
        </w:tc>
        <w:tc>
          <w:tcPr>
            <w:tcW w:w="850" w:type="dxa"/>
            <w:shd w:val="clear" w:color="auto" w:fill="auto"/>
          </w:tcPr>
          <w:p w14:paraId="6F4CECC3" w14:textId="77777777" w:rsidR="00A97D95" w:rsidRPr="00DE566E" w:rsidRDefault="00A97D95" w:rsidP="00930832">
            <w:pPr>
              <w:spacing w:before="120" w:after="120"/>
              <w:rPr>
                <w:rFonts w:ascii="Arial" w:eastAsia="Calibri" w:hAnsi="Arial" w:cs="Arial"/>
                <w:sz w:val="24"/>
                <w:szCs w:val="24"/>
              </w:rPr>
            </w:pPr>
          </w:p>
        </w:tc>
        <w:tc>
          <w:tcPr>
            <w:tcW w:w="723" w:type="dxa"/>
            <w:shd w:val="clear" w:color="auto" w:fill="auto"/>
          </w:tcPr>
          <w:p w14:paraId="7523E395" w14:textId="77777777" w:rsidR="00A97D95" w:rsidRPr="00DE566E" w:rsidRDefault="00A97D95" w:rsidP="00930832">
            <w:pPr>
              <w:spacing w:before="120" w:after="120"/>
              <w:rPr>
                <w:rFonts w:ascii="Arial" w:eastAsia="Calibri" w:hAnsi="Arial" w:cs="Arial"/>
                <w:sz w:val="24"/>
                <w:szCs w:val="24"/>
              </w:rPr>
            </w:pPr>
          </w:p>
        </w:tc>
        <w:tc>
          <w:tcPr>
            <w:tcW w:w="851" w:type="dxa"/>
            <w:shd w:val="clear" w:color="auto" w:fill="auto"/>
          </w:tcPr>
          <w:p w14:paraId="7CDEB6F3" w14:textId="77777777" w:rsidR="00A97D95" w:rsidRPr="00DE566E" w:rsidRDefault="00A97D95" w:rsidP="00930832">
            <w:pPr>
              <w:spacing w:before="120" w:after="120"/>
              <w:rPr>
                <w:rFonts w:ascii="Arial" w:eastAsia="Calibri" w:hAnsi="Arial" w:cs="Arial"/>
                <w:sz w:val="24"/>
                <w:szCs w:val="24"/>
              </w:rPr>
            </w:pPr>
          </w:p>
        </w:tc>
      </w:tr>
      <w:tr w:rsidR="00A97D95" w:rsidRPr="00DE566E" w14:paraId="2A8FD379" w14:textId="77777777" w:rsidTr="2AD8D8AA">
        <w:tc>
          <w:tcPr>
            <w:tcW w:w="6797" w:type="dxa"/>
            <w:shd w:val="clear" w:color="auto" w:fill="auto"/>
          </w:tcPr>
          <w:p w14:paraId="0FB040FB" w14:textId="7E7C56E0"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Sporting clubs and Surf Lifesaving clubs</w:t>
            </w:r>
          </w:p>
        </w:tc>
        <w:tc>
          <w:tcPr>
            <w:tcW w:w="850" w:type="dxa"/>
            <w:shd w:val="clear" w:color="auto" w:fill="auto"/>
          </w:tcPr>
          <w:p w14:paraId="77B9A722" w14:textId="77777777" w:rsidR="00A97D95" w:rsidRPr="00DE566E" w:rsidRDefault="00A97D95" w:rsidP="00930832">
            <w:pPr>
              <w:spacing w:before="120" w:after="120"/>
              <w:rPr>
                <w:rFonts w:ascii="Arial" w:eastAsia="Calibri" w:hAnsi="Arial" w:cs="Arial"/>
                <w:sz w:val="24"/>
                <w:szCs w:val="24"/>
              </w:rPr>
            </w:pPr>
          </w:p>
        </w:tc>
        <w:tc>
          <w:tcPr>
            <w:tcW w:w="723" w:type="dxa"/>
            <w:shd w:val="clear" w:color="auto" w:fill="auto"/>
          </w:tcPr>
          <w:p w14:paraId="284DCE45" w14:textId="77777777" w:rsidR="00A97D95" w:rsidRPr="00DE566E" w:rsidRDefault="00A97D95" w:rsidP="00930832">
            <w:pPr>
              <w:spacing w:before="120" w:after="120"/>
              <w:rPr>
                <w:rFonts w:ascii="Arial" w:eastAsia="Calibri" w:hAnsi="Arial" w:cs="Arial"/>
                <w:sz w:val="24"/>
                <w:szCs w:val="24"/>
              </w:rPr>
            </w:pPr>
          </w:p>
        </w:tc>
        <w:tc>
          <w:tcPr>
            <w:tcW w:w="851" w:type="dxa"/>
            <w:shd w:val="clear" w:color="auto" w:fill="auto"/>
          </w:tcPr>
          <w:p w14:paraId="4BEEFDEA" w14:textId="77777777" w:rsidR="00A97D95" w:rsidRPr="00DE566E" w:rsidRDefault="00A97D95" w:rsidP="00930832">
            <w:pPr>
              <w:spacing w:before="120" w:after="120"/>
              <w:rPr>
                <w:rFonts w:ascii="Arial" w:eastAsia="Calibri" w:hAnsi="Arial" w:cs="Arial"/>
                <w:sz w:val="24"/>
                <w:szCs w:val="24"/>
              </w:rPr>
            </w:pPr>
          </w:p>
        </w:tc>
      </w:tr>
      <w:tr w:rsidR="00A97D95" w:rsidRPr="00DE566E" w14:paraId="0DFE76AA" w14:textId="77777777" w:rsidTr="2AD8D8AA">
        <w:tc>
          <w:tcPr>
            <w:tcW w:w="6797" w:type="dxa"/>
            <w:shd w:val="clear" w:color="auto" w:fill="auto"/>
          </w:tcPr>
          <w:p w14:paraId="2B77D785" w14:textId="78664E9C"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lastRenderedPageBreak/>
              <w:t>Land used for the pursuit of the Arts</w:t>
            </w:r>
          </w:p>
        </w:tc>
        <w:tc>
          <w:tcPr>
            <w:tcW w:w="850" w:type="dxa"/>
            <w:shd w:val="clear" w:color="auto" w:fill="auto"/>
          </w:tcPr>
          <w:p w14:paraId="2F93CFAD" w14:textId="77777777" w:rsidR="00A97D95" w:rsidRPr="00DE566E" w:rsidRDefault="00A97D95" w:rsidP="00930832">
            <w:pPr>
              <w:spacing w:before="120" w:after="120"/>
              <w:rPr>
                <w:rFonts w:ascii="Arial" w:eastAsia="Calibri" w:hAnsi="Arial" w:cs="Arial"/>
                <w:sz w:val="24"/>
                <w:szCs w:val="24"/>
              </w:rPr>
            </w:pPr>
          </w:p>
        </w:tc>
        <w:tc>
          <w:tcPr>
            <w:tcW w:w="723" w:type="dxa"/>
            <w:shd w:val="clear" w:color="auto" w:fill="auto"/>
          </w:tcPr>
          <w:p w14:paraId="5492E8D4" w14:textId="77777777" w:rsidR="00A97D95" w:rsidRPr="00DE566E" w:rsidRDefault="00A97D95" w:rsidP="00930832">
            <w:pPr>
              <w:spacing w:before="120" w:after="120"/>
              <w:rPr>
                <w:rFonts w:ascii="Arial" w:eastAsia="Calibri" w:hAnsi="Arial" w:cs="Arial"/>
                <w:sz w:val="24"/>
                <w:szCs w:val="24"/>
              </w:rPr>
            </w:pPr>
          </w:p>
        </w:tc>
        <w:tc>
          <w:tcPr>
            <w:tcW w:w="851" w:type="dxa"/>
            <w:shd w:val="clear" w:color="auto" w:fill="auto"/>
          </w:tcPr>
          <w:p w14:paraId="22FAE3B6" w14:textId="77777777" w:rsidR="00A97D95" w:rsidRPr="00DE566E" w:rsidRDefault="00A97D95" w:rsidP="00930832">
            <w:pPr>
              <w:spacing w:before="120" w:after="120"/>
              <w:rPr>
                <w:rFonts w:ascii="Arial" w:eastAsia="Calibri" w:hAnsi="Arial" w:cs="Arial"/>
                <w:sz w:val="24"/>
                <w:szCs w:val="24"/>
              </w:rPr>
            </w:pPr>
          </w:p>
        </w:tc>
      </w:tr>
    </w:tbl>
    <w:p w14:paraId="18280457" w14:textId="77777777" w:rsidR="00A97D95" w:rsidRPr="005C20E9" w:rsidRDefault="00A97D95" w:rsidP="00A97D95">
      <w:pPr>
        <w:rPr>
          <w:rFonts w:ascii="Arial" w:hAnsi="Arial" w:cs="Arial"/>
        </w:rPr>
      </w:pPr>
    </w:p>
    <w:p w14:paraId="6D37BD35" w14:textId="77777777" w:rsidR="00A97D95"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Which of the following charges should be levied on properties exempt from rates?</w:t>
      </w:r>
    </w:p>
    <w:p w14:paraId="17CC8FC4" w14:textId="77777777"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Waste charges</w:t>
      </w:r>
    </w:p>
    <w:p w14:paraId="2FF4268B" w14:textId="77777777"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A service charge to cover basic services and maintenance</w:t>
      </w:r>
    </w:p>
    <w:p w14:paraId="613A152F" w14:textId="4AE9B653"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Both</w:t>
      </w:r>
    </w:p>
    <w:p w14:paraId="00DA8F57" w14:textId="6DFE7AF8"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Neither</w:t>
      </w:r>
    </w:p>
    <w:p w14:paraId="3C5102DA" w14:textId="77777777"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Other (please specify)</w:t>
      </w:r>
    </w:p>
    <w:p w14:paraId="721BD84A" w14:textId="34E074CA" w:rsidR="00A97D95"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Should a concession on rates be granted in any of the following scenarios?</w:t>
      </w:r>
    </w:p>
    <w:tbl>
      <w:tblPr>
        <w:tblStyle w:val="DLGCTable-Form2"/>
        <w:tblpPr w:leftFromText="180" w:rightFromText="180" w:vertAnchor="text" w:tblpX="-431" w:tblpY="1"/>
        <w:tblOverlap w:val="never"/>
        <w:tblW w:w="9221" w:type="dxa"/>
        <w:tblLook w:val="04A0" w:firstRow="1" w:lastRow="0" w:firstColumn="1" w:lastColumn="0" w:noHBand="0" w:noVBand="1"/>
      </w:tblPr>
      <w:tblGrid>
        <w:gridCol w:w="6782"/>
        <w:gridCol w:w="850"/>
        <w:gridCol w:w="738"/>
        <w:gridCol w:w="851"/>
      </w:tblGrid>
      <w:tr w:rsidR="00A97D95" w:rsidRPr="00DE566E" w14:paraId="6F9AE2ED" w14:textId="77777777" w:rsidTr="2AD8D8AA">
        <w:trPr>
          <w:cantSplit/>
          <w:trHeight w:val="984"/>
        </w:trPr>
        <w:tc>
          <w:tcPr>
            <w:tcW w:w="6797" w:type="dxa"/>
            <w:shd w:val="clear" w:color="auto" w:fill="auto"/>
          </w:tcPr>
          <w:p w14:paraId="31457550" w14:textId="77777777" w:rsidR="00A97D95" w:rsidRPr="00DE566E" w:rsidRDefault="00A97D95" w:rsidP="00E5527F">
            <w:pPr>
              <w:spacing w:before="120" w:after="120"/>
              <w:rPr>
                <w:rFonts w:ascii="Arial" w:eastAsia="Calibri" w:hAnsi="Arial" w:cs="Arial"/>
                <w:sz w:val="24"/>
                <w:szCs w:val="24"/>
              </w:rPr>
            </w:pPr>
          </w:p>
        </w:tc>
        <w:tc>
          <w:tcPr>
            <w:tcW w:w="850" w:type="dxa"/>
            <w:shd w:val="clear" w:color="auto" w:fill="auto"/>
            <w:textDirection w:val="btLr"/>
          </w:tcPr>
          <w:p w14:paraId="50B23D3A" w14:textId="77777777" w:rsidR="00A97D95"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Yes</w:t>
            </w:r>
          </w:p>
        </w:tc>
        <w:tc>
          <w:tcPr>
            <w:tcW w:w="723" w:type="dxa"/>
            <w:shd w:val="clear" w:color="auto" w:fill="auto"/>
            <w:textDirection w:val="btLr"/>
          </w:tcPr>
          <w:p w14:paraId="60E3B8A1" w14:textId="77777777" w:rsidR="00A97D95"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No</w:t>
            </w:r>
          </w:p>
        </w:tc>
        <w:tc>
          <w:tcPr>
            <w:tcW w:w="851" w:type="dxa"/>
            <w:shd w:val="clear" w:color="auto" w:fill="auto"/>
            <w:textDirection w:val="btLr"/>
          </w:tcPr>
          <w:p w14:paraId="1B2EDB2C" w14:textId="77777777" w:rsidR="00A97D95"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Unsure</w:t>
            </w:r>
          </w:p>
        </w:tc>
      </w:tr>
      <w:tr w:rsidR="00A97D95" w:rsidRPr="00DE566E" w14:paraId="52CAB4E0" w14:textId="77777777" w:rsidTr="2AD8D8AA">
        <w:tc>
          <w:tcPr>
            <w:tcW w:w="6797" w:type="dxa"/>
            <w:shd w:val="clear" w:color="auto" w:fill="auto"/>
          </w:tcPr>
          <w:p w14:paraId="240083ED" w14:textId="39D3024A"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land is owned by a person who currently receives a pensioner or health related concession</w:t>
            </w:r>
          </w:p>
        </w:tc>
        <w:tc>
          <w:tcPr>
            <w:tcW w:w="850" w:type="dxa"/>
            <w:shd w:val="clear" w:color="auto" w:fill="auto"/>
          </w:tcPr>
          <w:p w14:paraId="42D1EF3E"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0AD3F6B1"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00AB9DA0" w14:textId="77777777" w:rsidR="00A97D95" w:rsidRPr="00DE566E" w:rsidRDefault="00A97D95" w:rsidP="00E5527F">
            <w:pPr>
              <w:spacing w:before="120" w:after="120"/>
              <w:rPr>
                <w:rFonts w:ascii="Arial" w:eastAsia="Calibri" w:hAnsi="Arial" w:cs="Arial"/>
                <w:sz w:val="24"/>
                <w:szCs w:val="24"/>
              </w:rPr>
            </w:pPr>
          </w:p>
        </w:tc>
      </w:tr>
      <w:tr w:rsidR="00A97D95" w:rsidRPr="00DE566E" w14:paraId="0F3805C1" w14:textId="77777777" w:rsidTr="2AD8D8AA">
        <w:tc>
          <w:tcPr>
            <w:tcW w:w="6797" w:type="dxa"/>
            <w:shd w:val="clear" w:color="auto" w:fill="auto"/>
          </w:tcPr>
          <w:p w14:paraId="4589E698" w14:textId="2D409552"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land is owned or used by a not-for-profit organisation</w:t>
            </w:r>
          </w:p>
        </w:tc>
        <w:tc>
          <w:tcPr>
            <w:tcW w:w="850" w:type="dxa"/>
            <w:shd w:val="clear" w:color="auto" w:fill="auto"/>
          </w:tcPr>
          <w:p w14:paraId="566025C4"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4195B428"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272D4836" w14:textId="77777777" w:rsidR="00A97D95" w:rsidRPr="00DE566E" w:rsidRDefault="00A97D95" w:rsidP="00E5527F">
            <w:pPr>
              <w:spacing w:before="120" w:after="120"/>
              <w:rPr>
                <w:rFonts w:ascii="Arial" w:eastAsia="Calibri" w:hAnsi="Arial" w:cs="Arial"/>
                <w:sz w:val="24"/>
                <w:szCs w:val="24"/>
              </w:rPr>
            </w:pPr>
          </w:p>
        </w:tc>
      </w:tr>
      <w:tr w:rsidR="00A97D95" w:rsidRPr="00DE566E" w14:paraId="250189B6" w14:textId="77777777" w:rsidTr="2AD8D8AA">
        <w:tc>
          <w:tcPr>
            <w:tcW w:w="6797" w:type="dxa"/>
            <w:shd w:val="clear" w:color="auto" w:fill="auto"/>
          </w:tcPr>
          <w:p w14:paraId="73417130" w14:textId="7CD6D9F7"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land is owned or used by an entity that provides assistance or encouragement for arts or cultural development</w:t>
            </w:r>
          </w:p>
        </w:tc>
        <w:tc>
          <w:tcPr>
            <w:tcW w:w="850" w:type="dxa"/>
            <w:shd w:val="clear" w:color="auto" w:fill="auto"/>
          </w:tcPr>
          <w:p w14:paraId="30A0217E"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0A31BDB6"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3147A7EA" w14:textId="77777777" w:rsidR="00A97D95" w:rsidRPr="00DE566E" w:rsidRDefault="00A97D95" w:rsidP="00E5527F">
            <w:pPr>
              <w:spacing w:before="120" w:after="120"/>
              <w:rPr>
                <w:rFonts w:ascii="Arial" w:eastAsia="Calibri" w:hAnsi="Arial" w:cs="Arial"/>
                <w:sz w:val="24"/>
                <w:szCs w:val="24"/>
              </w:rPr>
            </w:pPr>
          </w:p>
        </w:tc>
      </w:tr>
      <w:tr w:rsidR="00A97D95" w:rsidRPr="00DE566E" w14:paraId="6BA6B40E" w14:textId="77777777" w:rsidTr="2AD8D8AA">
        <w:tc>
          <w:tcPr>
            <w:tcW w:w="6797" w:type="dxa"/>
            <w:shd w:val="clear" w:color="auto" w:fill="auto"/>
          </w:tcPr>
          <w:p w14:paraId="470CCC74" w14:textId="4875FCA1"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land is owned or used by a sporting or recreation body and is available for use by the general community without charge or below cost</w:t>
            </w:r>
          </w:p>
        </w:tc>
        <w:tc>
          <w:tcPr>
            <w:tcW w:w="850" w:type="dxa"/>
            <w:shd w:val="clear" w:color="auto" w:fill="auto"/>
          </w:tcPr>
          <w:p w14:paraId="510C66F7"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63D6EFFD"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47C1AA15" w14:textId="77777777" w:rsidR="00A97D95" w:rsidRPr="00DE566E" w:rsidRDefault="00A97D95" w:rsidP="00E5527F">
            <w:pPr>
              <w:spacing w:before="120" w:after="120"/>
              <w:rPr>
                <w:rFonts w:ascii="Arial" w:eastAsia="Calibri" w:hAnsi="Arial" w:cs="Arial"/>
                <w:sz w:val="24"/>
                <w:szCs w:val="24"/>
              </w:rPr>
            </w:pPr>
          </w:p>
        </w:tc>
      </w:tr>
      <w:tr w:rsidR="00A97D95" w:rsidRPr="00DE566E" w14:paraId="46732317" w14:textId="77777777" w:rsidTr="2AD8D8AA">
        <w:tc>
          <w:tcPr>
            <w:tcW w:w="6797" w:type="dxa"/>
            <w:shd w:val="clear" w:color="auto" w:fill="auto"/>
          </w:tcPr>
          <w:p w14:paraId="75566169" w14:textId="731B014F"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Community service organisations that are not-for-profit, for the benefit of the general public and provide community services without charge or below cost</w:t>
            </w:r>
          </w:p>
        </w:tc>
        <w:tc>
          <w:tcPr>
            <w:tcW w:w="850" w:type="dxa"/>
            <w:shd w:val="clear" w:color="auto" w:fill="auto"/>
          </w:tcPr>
          <w:p w14:paraId="0DE401BE"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7F238E97"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12223C61" w14:textId="77777777" w:rsidR="00A97D95" w:rsidRPr="00DE566E" w:rsidRDefault="00A97D95" w:rsidP="00E5527F">
            <w:pPr>
              <w:spacing w:before="120" w:after="120"/>
              <w:rPr>
                <w:rFonts w:ascii="Arial" w:eastAsia="Calibri" w:hAnsi="Arial" w:cs="Arial"/>
                <w:sz w:val="24"/>
                <w:szCs w:val="24"/>
              </w:rPr>
            </w:pPr>
          </w:p>
        </w:tc>
      </w:tr>
      <w:tr w:rsidR="00A97D95" w:rsidRPr="00DE566E" w14:paraId="003F697E" w14:textId="77777777" w:rsidTr="2AD8D8AA">
        <w:tc>
          <w:tcPr>
            <w:tcW w:w="6797" w:type="dxa"/>
            <w:shd w:val="clear" w:color="auto" w:fill="auto"/>
          </w:tcPr>
          <w:p w14:paraId="4A15F8A1" w14:textId="6F144742"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payment of rates or charges will cause hardship to the land owner</w:t>
            </w:r>
          </w:p>
        </w:tc>
        <w:tc>
          <w:tcPr>
            <w:tcW w:w="850" w:type="dxa"/>
            <w:shd w:val="clear" w:color="auto" w:fill="auto"/>
          </w:tcPr>
          <w:p w14:paraId="47F01912"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60FEA68C"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24482EFD" w14:textId="77777777" w:rsidR="00A97D95" w:rsidRPr="00DE566E" w:rsidRDefault="00A97D95" w:rsidP="00E5527F">
            <w:pPr>
              <w:spacing w:before="120" w:after="120"/>
              <w:rPr>
                <w:rFonts w:ascii="Arial" w:eastAsia="Calibri" w:hAnsi="Arial" w:cs="Arial"/>
                <w:sz w:val="24"/>
                <w:szCs w:val="24"/>
              </w:rPr>
            </w:pPr>
          </w:p>
        </w:tc>
      </w:tr>
      <w:tr w:rsidR="00A97D95" w:rsidRPr="00DE566E" w14:paraId="0C296B9B" w14:textId="77777777" w:rsidTr="2AD8D8AA">
        <w:tc>
          <w:tcPr>
            <w:tcW w:w="6797" w:type="dxa"/>
            <w:shd w:val="clear" w:color="auto" w:fill="auto"/>
          </w:tcPr>
          <w:p w14:paraId="1BBEC87D" w14:textId="17349318"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concession will encourage the economic development of all or part of the local government district</w:t>
            </w:r>
          </w:p>
        </w:tc>
        <w:tc>
          <w:tcPr>
            <w:tcW w:w="850" w:type="dxa"/>
            <w:shd w:val="clear" w:color="auto" w:fill="auto"/>
          </w:tcPr>
          <w:p w14:paraId="011E225B"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7C18AEBC"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59F44C8C" w14:textId="77777777" w:rsidR="00A97D95" w:rsidRPr="00DE566E" w:rsidRDefault="00A97D95" w:rsidP="00E5527F">
            <w:pPr>
              <w:spacing w:before="120" w:after="120"/>
              <w:rPr>
                <w:rFonts w:ascii="Arial" w:eastAsia="Calibri" w:hAnsi="Arial" w:cs="Arial"/>
                <w:sz w:val="24"/>
                <w:szCs w:val="24"/>
              </w:rPr>
            </w:pPr>
          </w:p>
        </w:tc>
      </w:tr>
      <w:tr w:rsidR="00A97D95" w:rsidRPr="00DE566E" w14:paraId="5FFCF914" w14:textId="77777777" w:rsidTr="2AD8D8AA">
        <w:tc>
          <w:tcPr>
            <w:tcW w:w="6797" w:type="dxa"/>
            <w:shd w:val="clear" w:color="auto" w:fill="auto"/>
          </w:tcPr>
          <w:p w14:paraId="2C11DD7F" w14:textId="3A15C6B8"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The concession will encourage land that is of cultural, environmental, historic, heritage or scientific significance to the local government area to be preserved, restored or maintained</w:t>
            </w:r>
          </w:p>
        </w:tc>
        <w:tc>
          <w:tcPr>
            <w:tcW w:w="850" w:type="dxa"/>
            <w:shd w:val="clear" w:color="auto" w:fill="auto"/>
          </w:tcPr>
          <w:p w14:paraId="446B0FDA"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5A4BF94F"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2FA820BF" w14:textId="77777777" w:rsidR="00A97D95" w:rsidRPr="00DE566E" w:rsidRDefault="00A97D95" w:rsidP="00E5527F">
            <w:pPr>
              <w:spacing w:before="120" w:after="120"/>
              <w:rPr>
                <w:rFonts w:ascii="Arial" w:eastAsia="Calibri" w:hAnsi="Arial" w:cs="Arial"/>
                <w:sz w:val="24"/>
                <w:szCs w:val="24"/>
              </w:rPr>
            </w:pPr>
          </w:p>
        </w:tc>
      </w:tr>
      <w:tr w:rsidR="00A97D95" w:rsidRPr="00DE566E" w14:paraId="2540C8FD" w14:textId="77777777" w:rsidTr="2AD8D8AA">
        <w:tc>
          <w:tcPr>
            <w:tcW w:w="6797" w:type="dxa"/>
            <w:shd w:val="clear" w:color="auto" w:fill="auto"/>
          </w:tcPr>
          <w:p w14:paraId="06EC6F3A" w14:textId="3BE7044C"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that is subject to a mining tenement</w:t>
            </w:r>
          </w:p>
        </w:tc>
        <w:tc>
          <w:tcPr>
            <w:tcW w:w="850" w:type="dxa"/>
            <w:shd w:val="clear" w:color="auto" w:fill="auto"/>
          </w:tcPr>
          <w:p w14:paraId="3773BA52"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6DBFA2BE"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6BD353BF" w14:textId="77777777" w:rsidR="00A97D95" w:rsidRPr="00DE566E" w:rsidRDefault="00A97D95" w:rsidP="00E5527F">
            <w:pPr>
              <w:spacing w:before="120" w:after="120"/>
              <w:rPr>
                <w:rFonts w:ascii="Arial" w:eastAsia="Calibri" w:hAnsi="Arial" w:cs="Arial"/>
                <w:sz w:val="24"/>
                <w:szCs w:val="24"/>
              </w:rPr>
            </w:pPr>
          </w:p>
        </w:tc>
      </w:tr>
      <w:tr w:rsidR="00A97D95" w:rsidRPr="00DE566E" w14:paraId="5135E72C" w14:textId="77777777" w:rsidTr="2AD8D8AA">
        <w:tc>
          <w:tcPr>
            <w:tcW w:w="6797" w:type="dxa"/>
            <w:shd w:val="clear" w:color="auto" w:fill="auto"/>
          </w:tcPr>
          <w:p w14:paraId="416B5C77" w14:textId="6EDBC799" w:rsidR="00A97D95"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that is determined by the Minister to be subject to a concession</w:t>
            </w:r>
          </w:p>
        </w:tc>
        <w:tc>
          <w:tcPr>
            <w:tcW w:w="850" w:type="dxa"/>
            <w:shd w:val="clear" w:color="auto" w:fill="auto"/>
          </w:tcPr>
          <w:p w14:paraId="4EC710CE" w14:textId="77777777" w:rsidR="00A97D95" w:rsidRPr="00DE566E" w:rsidRDefault="00A97D95" w:rsidP="00E5527F">
            <w:pPr>
              <w:spacing w:before="120" w:after="120"/>
              <w:rPr>
                <w:rFonts w:ascii="Arial" w:eastAsia="Calibri" w:hAnsi="Arial" w:cs="Arial"/>
                <w:sz w:val="24"/>
                <w:szCs w:val="24"/>
              </w:rPr>
            </w:pPr>
          </w:p>
        </w:tc>
        <w:tc>
          <w:tcPr>
            <w:tcW w:w="723" w:type="dxa"/>
            <w:shd w:val="clear" w:color="auto" w:fill="auto"/>
          </w:tcPr>
          <w:p w14:paraId="45DC84EE" w14:textId="77777777" w:rsidR="00A97D95" w:rsidRPr="00DE566E" w:rsidRDefault="00A97D95" w:rsidP="00E5527F">
            <w:pPr>
              <w:spacing w:before="120" w:after="120"/>
              <w:rPr>
                <w:rFonts w:ascii="Arial" w:eastAsia="Calibri" w:hAnsi="Arial" w:cs="Arial"/>
                <w:sz w:val="24"/>
                <w:szCs w:val="24"/>
              </w:rPr>
            </w:pPr>
          </w:p>
        </w:tc>
        <w:tc>
          <w:tcPr>
            <w:tcW w:w="851" w:type="dxa"/>
            <w:shd w:val="clear" w:color="auto" w:fill="auto"/>
          </w:tcPr>
          <w:p w14:paraId="37E46CFD" w14:textId="77777777" w:rsidR="00A97D95" w:rsidRPr="00DE566E" w:rsidRDefault="00A97D95" w:rsidP="00E5527F">
            <w:pPr>
              <w:spacing w:before="120" w:after="120"/>
              <w:rPr>
                <w:rFonts w:ascii="Arial" w:eastAsia="Calibri" w:hAnsi="Arial" w:cs="Arial"/>
                <w:sz w:val="24"/>
                <w:szCs w:val="24"/>
              </w:rPr>
            </w:pPr>
          </w:p>
        </w:tc>
      </w:tr>
    </w:tbl>
    <w:p w14:paraId="5A5F2998" w14:textId="63AB846F" w:rsidR="006B4495" w:rsidRDefault="006B4495" w:rsidP="006B4495">
      <w:pPr>
        <w:pStyle w:val="ListParagraph"/>
        <w:rPr>
          <w:rFonts w:ascii="Arial" w:hAnsi="Arial" w:cs="Arial"/>
          <w:sz w:val="24"/>
          <w:szCs w:val="24"/>
        </w:rPr>
      </w:pPr>
    </w:p>
    <w:p w14:paraId="42927ED7" w14:textId="639EB3A8" w:rsidR="00A97D95"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Should any other scenarios be subject to rates concessions?</w:t>
      </w:r>
    </w:p>
    <w:p w14:paraId="6DC18217" w14:textId="0B9E344B" w:rsidR="00A97D95"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lastRenderedPageBreak/>
        <w:t>Which of the following charges should be levied on that part of the land that receives a rates concession?</w:t>
      </w:r>
    </w:p>
    <w:p w14:paraId="5FAAACB1" w14:textId="6673281E"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Waste charges</w:t>
      </w:r>
    </w:p>
    <w:p w14:paraId="6AD6F557" w14:textId="14D73EB1"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A service charge to cover basic services and maintenance</w:t>
      </w:r>
    </w:p>
    <w:p w14:paraId="208CCCAB" w14:textId="14D97254"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Both</w:t>
      </w:r>
    </w:p>
    <w:p w14:paraId="7503CE4A" w14:textId="2A40A110"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Neither</w:t>
      </w:r>
    </w:p>
    <w:p w14:paraId="0C6F9F0F" w14:textId="2631912D" w:rsidR="00A97D95" w:rsidRPr="001E734A" w:rsidRDefault="2AD8D8AA" w:rsidP="2AD8D8AA">
      <w:pPr>
        <w:pStyle w:val="ListParagraph"/>
        <w:numPr>
          <w:ilvl w:val="1"/>
          <w:numId w:val="38"/>
        </w:numPr>
        <w:rPr>
          <w:rFonts w:ascii="Arial" w:hAnsi="Arial" w:cs="Arial"/>
          <w:sz w:val="24"/>
          <w:szCs w:val="24"/>
        </w:rPr>
      </w:pPr>
      <w:r w:rsidRPr="2AD8D8AA">
        <w:rPr>
          <w:rFonts w:ascii="Arial" w:hAnsi="Arial" w:cs="Arial"/>
          <w:sz w:val="24"/>
          <w:szCs w:val="24"/>
        </w:rPr>
        <w:t>Other (please specify)</w:t>
      </w:r>
    </w:p>
    <w:p w14:paraId="569B342D" w14:textId="1CFF02CD" w:rsidR="00A97D95" w:rsidRPr="001E734A"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51"/>
        <w:gridCol w:w="850"/>
        <w:gridCol w:w="738"/>
        <w:gridCol w:w="851"/>
        <w:gridCol w:w="850"/>
        <w:gridCol w:w="851"/>
      </w:tblGrid>
      <w:tr w:rsidR="00A944BF" w:rsidRPr="00DE566E" w14:paraId="2B0E9A8D" w14:textId="77777777" w:rsidTr="2AD8D8AA">
        <w:trPr>
          <w:cantSplit/>
          <w:trHeight w:val="2222"/>
        </w:trPr>
        <w:tc>
          <w:tcPr>
            <w:tcW w:w="6366" w:type="dxa"/>
            <w:shd w:val="clear" w:color="auto" w:fill="auto"/>
          </w:tcPr>
          <w:p w14:paraId="3698E2F0" w14:textId="77777777" w:rsidR="00A944BF" w:rsidRPr="00DE566E" w:rsidRDefault="00A944BF" w:rsidP="00E5527F">
            <w:pPr>
              <w:spacing w:before="120" w:after="120"/>
              <w:rPr>
                <w:rFonts w:ascii="Arial" w:eastAsia="Calibri" w:hAnsi="Arial" w:cs="Arial"/>
                <w:sz w:val="24"/>
                <w:szCs w:val="24"/>
              </w:rPr>
            </w:pPr>
          </w:p>
        </w:tc>
        <w:tc>
          <w:tcPr>
            <w:tcW w:w="850" w:type="dxa"/>
            <w:shd w:val="clear" w:color="auto" w:fill="auto"/>
            <w:textDirection w:val="btLr"/>
          </w:tcPr>
          <w:p w14:paraId="2246DEF7"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unsupportive</w:t>
            </w:r>
          </w:p>
        </w:tc>
        <w:tc>
          <w:tcPr>
            <w:tcW w:w="723" w:type="dxa"/>
            <w:shd w:val="clear" w:color="auto" w:fill="auto"/>
            <w:textDirection w:val="btLr"/>
          </w:tcPr>
          <w:p w14:paraId="13E4720A"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Unsupportive</w:t>
            </w:r>
          </w:p>
        </w:tc>
        <w:tc>
          <w:tcPr>
            <w:tcW w:w="851" w:type="dxa"/>
            <w:shd w:val="clear" w:color="auto" w:fill="auto"/>
            <w:textDirection w:val="btLr"/>
          </w:tcPr>
          <w:p w14:paraId="3DF7A7F9"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Neutral</w:t>
            </w:r>
          </w:p>
        </w:tc>
        <w:tc>
          <w:tcPr>
            <w:tcW w:w="850" w:type="dxa"/>
            <w:shd w:val="clear" w:color="auto" w:fill="auto"/>
            <w:textDirection w:val="btLr"/>
          </w:tcPr>
          <w:p w14:paraId="60F3DA17"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Supportive</w:t>
            </w:r>
          </w:p>
        </w:tc>
        <w:tc>
          <w:tcPr>
            <w:tcW w:w="851" w:type="dxa"/>
            <w:shd w:val="clear" w:color="auto" w:fill="auto"/>
            <w:textDirection w:val="btLr"/>
          </w:tcPr>
          <w:p w14:paraId="06028E02" w14:textId="74462372"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supportive</w:t>
            </w:r>
          </w:p>
        </w:tc>
      </w:tr>
      <w:tr w:rsidR="00A944BF" w:rsidRPr="00DE566E" w14:paraId="58A2599E" w14:textId="77777777" w:rsidTr="2AD8D8AA">
        <w:tc>
          <w:tcPr>
            <w:tcW w:w="6366" w:type="dxa"/>
            <w:shd w:val="clear" w:color="auto" w:fill="auto"/>
          </w:tcPr>
          <w:p w14:paraId="6A4BD30F" w14:textId="324B2634" w:rsidR="00A944BF"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“Rate exemptions for the commercial (non-charitable) business activities of charitable organisations should be removed.”</w:t>
            </w:r>
          </w:p>
        </w:tc>
        <w:tc>
          <w:tcPr>
            <w:tcW w:w="850" w:type="dxa"/>
            <w:shd w:val="clear" w:color="auto" w:fill="auto"/>
          </w:tcPr>
          <w:p w14:paraId="79ECDD5B" w14:textId="77777777" w:rsidR="00A944BF" w:rsidRPr="00DE566E" w:rsidRDefault="00A944BF" w:rsidP="00E5527F">
            <w:pPr>
              <w:spacing w:before="120" w:after="120"/>
              <w:rPr>
                <w:rFonts w:ascii="Arial" w:eastAsia="Calibri" w:hAnsi="Arial" w:cs="Arial"/>
                <w:sz w:val="24"/>
                <w:szCs w:val="24"/>
              </w:rPr>
            </w:pPr>
          </w:p>
        </w:tc>
        <w:tc>
          <w:tcPr>
            <w:tcW w:w="723" w:type="dxa"/>
            <w:shd w:val="clear" w:color="auto" w:fill="auto"/>
          </w:tcPr>
          <w:p w14:paraId="0EF4F661"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669CA6B3" w14:textId="77777777" w:rsidR="00A944BF" w:rsidRPr="00DE566E" w:rsidRDefault="00A944BF" w:rsidP="00E5527F">
            <w:pPr>
              <w:spacing w:before="120" w:after="120"/>
              <w:rPr>
                <w:rFonts w:ascii="Arial" w:eastAsia="Calibri" w:hAnsi="Arial" w:cs="Arial"/>
                <w:sz w:val="24"/>
                <w:szCs w:val="24"/>
              </w:rPr>
            </w:pPr>
          </w:p>
        </w:tc>
        <w:tc>
          <w:tcPr>
            <w:tcW w:w="850" w:type="dxa"/>
            <w:shd w:val="clear" w:color="auto" w:fill="auto"/>
          </w:tcPr>
          <w:p w14:paraId="22B41B76"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728E5010" w14:textId="77777777" w:rsidR="00A944BF" w:rsidRPr="00DE566E" w:rsidRDefault="00A944BF" w:rsidP="00E5527F">
            <w:pPr>
              <w:spacing w:before="120" w:after="120"/>
              <w:rPr>
                <w:rFonts w:ascii="Arial" w:eastAsia="Calibri" w:hAnsi="Arial" w:cs="Arial"/>
                <w:sz w:val="24"/>
                <w:szCs w:val="24"/>
              </w:rPr>
            </w:pPr>
          </w:p>
        </w:tc>
      </w:tr>
      <w:tr w:rsidR="00A944BF" w:rsidRPr="00DE566E" w14:paraId="477A15E1" w14:textId="77777777" w:rsidTr="2AD8D8AA">
        <w:tc>
          <w:tcPr>
            <w:tcW w:w="6366" w:type="dxa"/>
            <w:shd w:val="clear" w:color="auto" w:fill="auto"/>
          </w:tcPr>
          <w:p w14:paraId="6754DA23" w14:textId="74522E1C" w:rsidR="00A944BF"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 xml:space="preserve">“Certain categories of ratepayers, for example Independent Living Units, should only be exempt from rates where they qualify under the Commonwealth </w:t>
            </w:r>
            <w:r w:rsidRPr="2AD8D8AA">
              <w:rPr>
                <w:rFonts w:ascii="Arial" w:eastAsia="Calibri" w:hAnsi="Arial" w:cs="Arial"/>
                <w:i/>
                <w:iCs/>
                <w:sz w:val="24"/>
                <w:szCs w:val="24"/>
              </w:rPr>
              <w:t>Aged Care Act 1997</w:t>
            </w:r>
            <w:r w:rsidRPr="2AD8D8AA">
              <w:rPr>
                <w:rFonts w:ascii="Arial" w:eastAsia="Calibri" w:hAnsi="Arial" w:cs="Arial"/>
                <w:sz w:val="24"/>
                <w:szCs w:val="24"/>
              </w:rPr>
              <w:t>.”</w:t>
            </w:r>
          </w:p>
        </w:tc>
        <w:tc>
          <w:tcPr>
            <w:tcW w:w="850" w:type="dxa"/>
            <w:shd w:val="clear" w:color="auto" w:fill="auto"/>
          </w:tcPr>
          <w:p w14:paraId="3D416574" w14:textId="77777777" w:rsidR="00A944BF" w:rsidRPr="00DE566E" w:rsidRDefault="00A944BF" w:rsidP="00E5527F">
            <w:pPr>
              <w:spacing w:before="120" w:after="120"/>
              <w:rPr>
                <w:rFonts w:ascii="Arial" w:eastAsia="Calibri" w:hAnsi="Arial" w:cs="Arial"/>
                <w:sz w:val="24"/>
                <w:szCs w:val="24"/>
              </w:rPr>
            </w:pPr>
          </w:p>
        </w:tc>
        <w:tc>
          <w:tcPr>
            <w:tcW w:w="723" w:type="dxa"/>
            <w:shd w:val="clear" w:color="auto" w:fill="auto"/>
          </w:tcPr>
          <w:p w14:paraId="10DDECD5"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2CD36B1E" w14:textId="77777777" w:rsidR="00A944BF" w:rsidRPr="00DE566E" w:rsidRDefault="00A944BF" w:rsidP="00E5527F">
            <w:pPr>
              <w:spacing w:before="120" w:after="120"/>
              <w:rPr>
                <w:rFonts w:ascii="Arial" w:eastAsia="Calibri" w:hAnsi="Arial" w:cs="Arial"/>
                <w:sz w:val="24"/>
                <w:szCs w:val="24"/>
              </w:rPr>
            </w:pPr>
          </w:p>
        </w:tc>
        <w:tc>
          <w:tcPr>
            <w:tcW w:w="850" w:type="dxa"/>
            <w:shd w:val="clear" w:color="auto" w:fill="auto"/>
          </w:tcPr>
          <w:p w14:paraId="45C1192B"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1BEF5419" w14:textId="77777777" w:rsidR="00A944BF" w:rsidRPr="00DE566E" w:rsidRDefault="00A944BF" w:rsidP="00E5527F">
            <w:pPr>
              <w:spacing w:before="120" w:after="120"/>
              <w:rPr>
                <w:rFonts w:ascii="Arial" w:eastAsia="Calibri" w:hAnsi="Arial" w:cs="Arial"/>
                <w:sz w:val="24"/>
                <w:szCs w:val="24"/>
              </w:rPr>
            </w:pPr>
          </w:p>
        </w:tc>
      </w:tr>
      <w:tr w:rsidR="00A944BF" w:rsidRPr="00DE566E" w14:paraId="728598D3" w14:textId="77777777" w:rsidTr="2AD8D8AA">
        <w:tc>
          <w:tcPr>
            <w:tcW w:w="6366" w:type="dxa"/>
            <w:shd w:val="clear" w:color="auto" w:fill="auto"/>
          </w:tcPr>
          <w:p w14:paraId="7214843E" w14:textId="51110FA7" w:rsidR="00A944BF"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“Land used as a residence should not be regarded as charitable.”</w:t>
            </w:r>
          </w:p>
        </w:tc>
        <w:tc>
          <w:tcPr>
            <w:tcW w:w="850" w:type="dxa"/>
            <w:shd w:val="clear" w:color="auto" w:fill="auto"/>
          </w:tcPr>
          <w:p w14:paraId="18224373" w14:textId="77777777" w:rsidR="00A944BF" w:rsidRPr="00DE566E" w:rsidRDefault="00A944BF" w:rsidP="00E5527F">
            <w:pPr>
              <w:spacing w:before="120" w:after="120"/>
              <w:rPr>
                <w:rFonts w:ascii="Arial" w:eastAsia="Calibri" w:hAnsi="Arial" w:cs="Arial"/>
                <w:sz w:val="24"/>
                <w:szCs w:val="24"/>
              </w:rPr>
            </w:pPr>
          </w:p>
        </w:tc>
        <w:tc>
          <w:tcPr>
            <w:tcW w:w="723" w:type="dxa"/>
            <w:shd w:val="clear" w:color="auto" w:fill="auto"/>
          </w:tcPr>
          <w:p w14:paraId="75824F3E"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2326EDC5" w14:textId="77777777" w:rsidR="00A944BF" w:rsidRPr="00DE566E" w:rsidRDefault="00A944BF" w:rsidP="00E5527F">
            <w:pPr>
              <w:spacing w:before="120" w:after="120"/>
              <w:rPr>
                <w:rFonts w:ascii="Arial" w:eastAsia="Calibri" w:hAnsi="Arial" w:cs="Arial"/>
                <w:sz w:val="24"/>
                <w:szCs w:val="24"/>
              </w:rPr>
            </w:pPr>
          </w:p>
        </w:tc>
        <w:tc>
          <w:tcPr>
            <w:tcW w:w="850" w:type="dxa"/>
            <w:shd w:val="clear" w:color="auto" w:fill="auto"/>
          </w:tcPr>
          <w:p w14:paraId="277C55F1"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67F9BAF1" w14:textId="77777777" w:rsidR="00A944BF" w:rsidRPr="00DE566E" w:rsidRDefault="00A944BF" w:rsidP="00E5527F">
            <w:pPr>
              <w:spacing w:before="120" w:after="120"/>
              <w:rPr>
                <w:rFonts w:ascii="Arial" w:eastAsia="Calibri" w:hAnsi="Arial" w:cs="Arial"/>
                <w:sz w:val="24"/>
                <w:szCs w:val="24"/>
              </w:rPr>
            </w:pPr>
          </w:p>
        </w:tc>
      </w:tr>
    </w:tbl>
    <w:p w14:paraId="52BB20AC" w14:textId="02564F46" w:rsidR="00FC2B0C" w:rsidRPr="005C20E9" w:rsidRDefault="00FC2B0C">
      <w:pPr>
        <w:rPr>
          <w:rFonts w:ascii="Arial" w:hAnsi="Arial" w:cs="Arial"/>
        </w:rPr>
      </w:pPr>
    </w:p>
    <w:p w14:paraId="37AAD3DB" w14:textId="67097338" w:rsidR="00A944BF" w:rsidRPr="001E734A" w:rsidRDefault="2AD8D8AA" w:rsidP="2AD8D8AA">
      <w:pPr>
        <w:pStyle w:val="ListParagraph"/>
        <w:numPr>
          <w:ilvl w:val="0"/>
          <w:numId w:val="38"/>
        </w:numPr>
        <w:rPr>
          <w:rFonts w:ascii="Arial" w:hAnsi="Arial" w:cs="Arial"/>
          <w:sz w:val="24"/>
          <w:szCs w:val="24"/>
        </w:rPr>
      </w:pPr>
      <w:bookmarkStart w:id="39" w:name="_Hlk524621778"/>
      <w:r w:rsidRPr="2AD8D8AA">
        <w:rPr>
          <w:rFonts w:ascii="Arial" w:hAnsi="Arial" w:cs="Arial"/>
          <w:sz w:val="24"/>
          <w:szCs w:val="24"/>
        </w:rPr>
        <w:t>To what extend do you support this statements?</w:t>
      </w:r>
    </w:p>
    <w:bookmarkEnd w:id="39"/>
    <w:tbl>
      <w:tblPr>
        <w:tblStyle w:val="DLGCTable-Form2"/>
        <w:tblW w:w="10491" w:type="dxa"/>
        <w:tblInd w:w="-431" w:type="dxa"/>
        <w:tblLook w:val="04A0" w:firstRow="1" w:lastRow="0" w:firstColumn="1" w:lastColumn="0" w:noHBand="0" w:noVBand="1"/>
      </w:tblPr>
      <w:tblGrid>
        <w:gridCol w:w="6351"/>
        <w:gridCol w:w="850"/>
        <w:gridCol w:w="738"/>
        <w:gridCol w:w="851"/>
        <w:gridCol w:w="850"/>
        <w:gridCol w:w="851"/>
      </w:tblGrid>
      <w:tr w:rsidR="00A944BF" w:rsidRPr="00DE566E" w14:paraId="7EAAA814" w14:textId="77777777" w:rsidTr="2AD8D8AA">
        <w:trPr>
          <w:cantSplit/>
          <w:trHeight w:val="2222"/>
        </w:trPr>
        <w:tc>
          <w:tcPr>
            <w:tcW w:w="6366" w:type="dxa"/>
            <w:shd w:val="clear" w:color="auto" w:fill="auto"/>
          </w:tcPr>
          <w:p w14:paraId="750D1ACC" w14:textId="77777777" w:rsidR="00A944BF" w:rsidRPr="00DE566E" w:rsidRDefault="00A944BF" w:rsidP="00E5527F">
            <w:pPr>
              <w:spacing w:before="120" w:after="120"/>
              <w:rPr>
                <w:rFonts w:ascii="Arial" w:eastAsia="Calibri" w:hAnsi="Arial" w:cs="Arial"/>
                <w:sz w:val="24"/>
                <w:szCs w:val="24"/>
              </w:rPr>
            </w:pPr>
          </w:p>
        </w:tc>
        <w:tc>
          <w:tcPr>
            <w:tcW w:w="850" w:type="dxa"/>
            <w:shd w:val="clear" w:color="auto" w:fill="auto"/>
            <w:textDirection w:val="btLr"/>
          </w:tcPr>
          <w:p w14:paraId="12C9F494"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unsupportive</w:t>
            </w:r>
          </w:p>
        </w:tc>
        <w:tc>
          <w:tcPr>
            <w:tcW w:w="723" w:type="dxa"/>
            <w:shd w:val="clear" w:color="auto" w:fill="auto"/>
            <w:textDirection w:val="btLr"/>
          </w:tcPr>
          <w:p w14:paraId="68B89DF7"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Unsupportive</w:t>
            </w:r>
          </w:p>
        </w:tc>
        <w:tc>
          <w:tcPr>
            <w:tcW w:w="851" w:type="dxa"/>
            <w:shd w:val="clear" w:color="auto" w:fill="auto"/>
            <w:textDirection w:val="btLr"/>
          </w:tcPr>
          <w:p w14:paraId="0D910285"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Neutral</w:t>
            </w:r>
          </w:p>
        </w:tc>
        <w:tc>
          <w:tcPr>
            <w:tcW w:w="850" w:type="dxa"/>
            <w:shd w:val="clear" w:color="auto" w:fill="auto"/>
            <w:textDirection w:val="btLr"/>
          </w:tcPr>
          <w:p w14:paraId="0F1A707A" w14:textId="77777777"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Supportive</w:t>
            </w:r>
          </w:p>
        </w:tc>
        <w:tc>
          <w:tcPr>
            <w:tcW w:w="851" w:type="dxa"/>
            <w:shd w:val="clear" w:color="auto" w:fill="auto"/>
            <w:textDirection w:val="btLr"/>
          </w:tcPr>
          <w:p w14:paraId="0459A8BA" w14:textId="47A931B5" w:rsidR="00A944BF" w:rsidRPr="00DE566E" w:rsidRDefault="2AD8D8AA" w:rsidP="2AD8D8AA">
            <w:pPr>
              <w:spacing w:before="120" w:after="120"/>
              <w:rPr>
                <w:rFonts w:ascii="Arial" w:eastAsia="Calibri" w:hAnsi="Arial" w:cs="Arial"/>
                <w:b/>
                <w:bCs/>
                <w:sz w:val="24"/>
                <w:szCs w:val="24"/>
              </w:rPr>
            </w:pPr>
            <w:r w:rsidRPr="2AD8D8AA">
              <w:rPr>
                <w:rFonts w:ascii="Arial" w:eastAsia="Calibri" w:hAnsi="Arial" w:cs="Arial"/>
                <w:sz w:val="24"/>
                <w:szCs w:val="24"/>
              </w:rPr>
              <w:t>Very supportive</w:t>
            </w:r>
          </w:p>
        </w:tc>
      </w:tr>
      <w:tr w:rsidR="00A944BF" w:rsidRPr="00DE566E" w14:paraId="610FF961" w14:textId="77777777" w:rsidTr="2AD8D8AA">
        <w:tc>
          <w:tcPr>
            <w:tcW w:w="6366" w:type="dxa"/>
            <w:shd w:val="clear" w:color="auto" w:fill="auto"/>
          </w:tcPr>
          <w:p w14:paraId="73FF1687" w14:textId="36EB9AA7" w:rsidR="00A944BF"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be able to impose fixed charges or levies for particular services, facilities or activities.”</w:t>
            </w:r>
          </w:p>
        </w:tc>
        <w:tc>
          <w:tcPr>
            <w:tcW w:w="850" w:type="dxa"/>
            <w:shd w:val="clear" w:color="auto" w:fill="auto"/>
          </w:tcPr>
          <w:p w14:paraId="1C101E46" w14:textId="77777777" w:rsidR="00A944BF" w:rsidRPr="00DE566E" w:rsidRDefault="00A944BF" w:rsidP="00E5527F">
            <w:pPr>
              <w:spacing w:before="120" w:after="120"/>
              <w:rPr>
                <w:rFonts w:ascii="Arial" w:eastAsia="Calibri" w:hAnsi="Arial" w:cs="Arial"/>
                <w:sz w:val="24"/>
                <w:szCs w:val="24"/>
              </w:rPr>
            </w:pPr>
          </w:p>
        </w:tc>
        <w:tc>
          <w:tcPr>
            <w:tcW w:w="723" w:type="dxa"/>
            <w:shd w:val="clear" w:color="auto" w:fill="auto"/>
          </w:tcPr>
          <w:p w14:paraId="31662631"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36D3F992" w14:textId="77777777" w:rsidR="00A944BF" w:rsidRPr="00DE566E" w:rsidRDefault="00A944BF" w:rsidP="00E5527F">
            <w:pPr>
              <w:spacing w:before="120" w:after="120"/>
              <w:rPr>
                <w:rFonts w:ascii="Arial" w:eastAsia="Calibri" w:hAnsi="Arial" w:cs="Arial"/>
                <w:sz w:val="24"/>
                <w:szCs w:val="24"/>
              </w:rPr>
            </w:pPr>
          </w:p>
        </w:tc>
        <w:tc>
          <w:tcPr>
            <w:tcW w:w="850" w:type="dxa"/>
            <w:shd w:val="clear" w:color="auto" w:fill="auto"/>
          </w:tcPr>
          <w:p w14:paraId="7D1A32B9"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7118D77E" w14:textId="77777777" w:rsidR="00A944BF" w:rsidRPr="00DE566E" w:rsidRDefault="00A944BF" w:rsidP="00E5527F">
            <w:pPr>
              <w:spacing w:before="120" w:after="120"/>
              <w:rPr>
                <w:rFonts w:ascii="Arial" w:eastAsia="Calibri" w:hAnsi="Arial" w:cs="Arial"/>
                <w:sz w:val="24"/>
                <w:szCs w:val="24"/>
              </w:rPr>
            </w:pPr>
          </w:p>
        </w:tc>
      </w:tr>
      <w:tr w:rsidR="00A944BF" w:rsidRPr="00DE566E" w14:paraId="2E7567C3" w14:textId="77777777" w:rsidTr="2AD8D8AA">
        <w:tc>
          <w:tcPr>
            <w:tcW w:w="6366" w:type="dxa"/>
            <w:shd w:val="clear" w:color="auto" w:fill="auto"/>
          </w:tcPr>
          <w:p w14:paraId="3CDEDAC6" w14:textId="36BCFD33" w:rsidR="00A944BF"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be able to vary fees and charges at any time without advertising the change.”</w:t>
            </w:r>
          </w:p>
        </w:tc>
        <w:tc>
          <w:tcPr>
            <w:tcW w:w="850" w:type="dxa"/>
            <w:shd w:val="clear" w:color="auto" w:fill="auto"/>
          </w:tcPr>
          <w:p w14:paraId="4C7BC448" w14:textId="77777777" w:rsidR="00A944BF" w:rsidRPr="00DE566E" w:rsidRDefault="00A944BF" w:rsidP="00E5527F">
            <w:pPr>
              <w:spacing w:before="120" w:after="120"/>
              <w:rPr>
                <w:rFonts w:ascii="Arial" w:eastAsia="Calibri" w:hAnsi="Arial" w:cs="Arial"/>
                <w:sz w:val="24"/>
                <w:szCs w:val="24"/>
              </w:rPr>
            </w:pPr>
          </w:p>
        </w:tc>
        <w:tc>
          <w:tcPr>
            <w:tcW w:w="723" w:type="dxa"/>
            <w:shd w:val="clear" w:color="auto" w:fill="auto"/>
          </w:tcPr>
          <w:p w14:paraId="4325DCA4"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1E8E5B4B" w14:textId="77777777" w:rsidR="00A944BF" w:rsidRPr="00DE566E" w:rsidRDefault="00A944BF" w:rsidP="00E5527F">
            <w:pPr>
              <w:spacing w:before="120" w:after="120"/>
              <w:rPr>
                <w:rFonts w:ascii="Arial" w:eastAsia="Calibri" w:hAnsi="Arial" w:cs="Arial"/>
                <w:sz w:val="24"/>
                <w:szCs w:val="24"/>
              </w:rPr>
            </w:pPr>
          </w:p>
        </w:tc>
        <w:tc>
          <w:tcPr>
            <w:tcW w:w="850" w:type="dxa"/>
            <w:shd w:val="clear" w:color="auto" w:fill="auto"/>
          </w:tcPr>
          <w:p w14:paraId="56510C4F" w14:textId="77777777" w:rsidR="00A944BF" w:rsidRPr="00DE566E" w:rsidRDefault="00A944BF" w:rsidP="00E5527F">
            <w:pPr>
              <w:spacing w:before="120" w:after="120"/>
              <w:rPr>
                <w:rFonts w:ascii="Arial" w:eastAsia="Calibri" w:hAnsi="Arial" w:cs="Arial"/>
                <w:sz w:val="24"/>
                <w:szCs w:val="24"/>
              </w:rPr>
            </w:pPr>
          </w:p>
        </w:tc>
        <w:tc>
          <w:tcPr>
            <w:tcW w:w="851" w:type="dxa"/>
            <w:shd w:val="clear" w:color="auto" w:fill="auto"/>
          </w:tcPr>
          <w:p w14:paraId="7E521826" w14:textId="77777777" w:rsidR="00A944BF" w:rsidRPr="00DE566E" w:rsidRDefault="00A944BF" w:rsidP="00E5527F">
            <w:pPr>
              <w:spacing w:before="120" w:after="120"/>
              <w:rPr>
                <w:rFonts w:ascii="Arial" w:eastAsia="Calibri" w:hAnsi="Arial" w:cs="Arial"/>
                <w:sz w:val="24"/>
                <w:szCs w:val="24"/>
              </w:rPr>
            </w:pPr>
          </w:p>
        </w:tc>
      </w:tr>
      <w:tr w:rsidR="00394EB8" w:rsidRPr="00DE566E" w14:paraId="7B953B5C" w14:textId="77777777" w:rsidTr="2AD8D8AA">
        <w:tc>
          <w:tcPr>
            <w:tcW w:w="6366" w:type="dxa"/>
            <w:shd w:val="clear" w:color="auto" w:fill="auto"/>
          </w:tcPr>
          <w:p w14:paraId="7188D6A1" w14:textId="0F486607" w:rsidR="00394EB8"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have the autonomy to set fees and charges for all services they provide.”</w:t>
            </w:r>
          </w:p>
        </w:tc>
        <w:tc>
          <w:tcPr>
            <w:tcW w:w="850" w:type="dxa"/>
            <w:shd w:val="clear" w:color="auto" w:fill="auto"/>
          </w:tcPr>
          <w:p w14:paraId="299ED0AE" w14:textId="77777777" w:rsidR="00394EB8" w:rsidRPr="00DE566E" w:rsidRDefault="00394EB8" w:rsidP="00E5527F">
            <w:pPr>
              <w:spacing w:before="120" w:after="120"/>
              <w:rPr>
                <w:rFonts w:ascii="Arial" w:eastAsia="Calibri" w:hAnsi="Arial" w:cs="Arial"/>
                <w:sz w:val="24"/>
                <w:szCs w:val="24"/>
              </w:rPr>
            </w:pPr>
          </w:p>
        </w:tc>
        <w:tc>
          <w:tcPr>
            <w:tcW w:w="723" w:type="dxa"/>
            <w:shd w:val="clear" w:color="auto" w:fill="auto"/>
          </w:tcPr>
          <w:p w14:paraId="4CB87628"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5B99B94B" w14:textId="77777777" w:rsidR="00394EB8" w:rsidRPr="00DE566E" w:rsidRDefault="00394EB8" w:rsidP="00E5527F">
            <w:pPr>
              <w:spacing w:before="120" w:after="120"/>
              <w:rPr>
                <w:rFonts w:ascii="Arial" w:eastAsia="Calibri" w:hAnsi="Arial" w:cs="Arial"/>
                <w:sz w:val="24"/>
                <w:szCs w:val="24"/>
              </w:rPr>
            </w:pPr>
          </w:p>
        </w:tc>
        <w:tc>
          <w:tcPr>
            <w:tcW w:w="850" w:type="dxa"/>
            <w:shd w:val="clear" w:color="auto" w:fill="auto"/>
          </w:tcPr>
          <w:p w14:paraId="33664724"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75C40232" w14:textId="77777777" w:rsidR="00394EB8" w:rsidRPr="00DE566E" w:rsidRDefault="00394EB8" w:rsidP="00E5527F">
            <w:pPr>
              <w:spacing w:before="120" w:after="120"/>
              <w:rPr>
                <w:rFonts w:ascii="Arial" w:eastAsia="Calibri" w:hAnsi="Arial" w:cs="Arial"/>
                <w:sz w:val="24"/>
                <w:szCs w:val="24"/>
              </w:rPr>
            </w:pPr>
          </w:p>
        </w:tc>
      </w:tr>
      <w:tr w:rsidR="00394EB8" w:rsidRPr="00DE566E" w14:paraId="4D47CAA1" w14:textId="77777777" w:rsidTr="2AD8D8AA">
        <w:tc>
          <w:tcPr>
            <w:tcW w:w="6366" w:type="dxa"/>
            <w:shd w:val="clear" w:color="auto" w:fill="auto"/>
          </w:tcPr>
          <w:p w14:paraId="065C7D28" w14:textId="0894CB2B" w:rsidR="00394EB8"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lastRenderedPageBreak/>
              <w:t>“Services that are consistent across local governments should have the same fees or charges.”</w:t>
            </w:r>
          </w:p>
        </w:tc>
        <w:tc>
          <w:tcPr>
            <w:tcW w:w="850" w:type="dxa"/>
            <w:shd w:val="clear" w:color="auto" w:fill="auto"/>
          </w:tcPr>
          <w:p w14:paraId="253A2400" w14:textId="77777777" w:rsidR="00394EB8" w:rsidRPr="00DE566E" w:rsidRDefault="00394EB8" w:rsidP="00E5527F">
            <w:pPr>
              <w:spacing w:before="120" w:after="120"/>
              <w:rPr>
                <w:rFonts w:ascii="Arial" w:eastAsia="Calibri" w:hAnsi="Arial" w:cs="Arial"/>
                <w:sz w:val="24"/>
                <w:szCs w:val="24"/>
              </w:rPr>
            </w:pPr>
          </w:p>
        </w:tc>
        <w:tc>
          <w:tcPr>
            <w:tcW w:w="723" w:type="dxa"/>
            <w:shd w:val="clear" w:color="auto" w:fill="auto"/>
          </w:tcPr>
          <w:p w14:paraId="4283DDE1"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57E3DE53" w14:textId="77777777" w:rsidR="00394EB8" w:rsidRPr="00DE566E" w:rsidRDefault="00394EB8" w:rsidP="00E5527F">
            <w:pPr>
              <w:spacing w:before="120" w:after="120"/>
              <w:rPr>
                <w:rFonts w:ascii="Arial" w:eastAsia="Calibri" w:hAnsi="Arial" w:cs="Arial"/>
                <w:sz w:val="24"/>
                <w:szCs w:val="24"/>
              </w:rPr>
            </w:pPr>
          </w:p>
        </w:tc>
        <w:tc>
          <w:tcPr>
            <w:tcW w:w="850" w:type="dxa"/>
            <w:shd w:val="clear" w:color="auto" w:fill="auto"/>
          </w:tcPr>
          <w:p w14:paraId="5BD4EAF8"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12471D9D" w14:textId="77777777" w:rsidR="00394EB8" w:rsidRPr="00DE566E" w:rsidRDefault="00394EB8" w:rsidP="00E5527F">
            <w:pPr>
              <w:spacing w:before="120" w:after="120"/>
              <w:rPr>
                <w:rFonts w:ascii="Arial" w:eastAsia="Calibri" w:hAnsi="Arial" w:cs="Arial"/>
                <w:sz w:val="24"/>
                <w:szCs w:val="24"/>
              </w:rPr>
            </w:pPr>
          </w:p>
        </w:tc>
      </w:tr>
      <w:tr w:rsidR="00394EB8" w:rsidRPr="00DE566E" w14:paraId="06E2FAB3" w14:textId="77777777" w:rsidTr="2AD8D8AA">
        <w:tc>
          <w:tcPr>
            <w:tcW w:w="6366" w:type="dxa"/>
            <w:shd w:val="clear" w:color="auto" w:fill="auto"/>
          </w:tcPr>
          <w:p w14:paraId="0DF39E16" w14:textId="5A46755E" w:rsidR="00394EB8"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“Local governments should not set a fee or charge higher than the cost of delivering that service.”</w:t>
            </w:r>
          </w:p>
        </w:tc>
        <w:tc>
          <w:tcPr>
            <w:tcW w:w="850" w:type="dxa"/>
            <w:shd w:val="clear" w:color="auto" w:fill="auto"/>
          </w:tcPr>
          <w:p w14:paraId="56046ED5" w14:textId="77777777" w:rsidR="00394EB8" w:rsidRPr="00DE566E" w:rsidRDefault="00394EB8" w:rsidP="00E5527F">
            <w:pPr>
              <w:spacing w:before="120" w:after="120"/>
              <w:rPr>
                <w:rFonts w:ascii="Arial" w:eastAsia="Calibri" w:hAnsi="Arial" w:cs="Arial"/>
                <w:sz w:val="24"/>
                <w:szCs w:val="24"/>
              </w:rPr>
            </w:pPr>
          </w:p>
        </w:tc>
        <w:tc>
          <w:tcPr>
            <w:tcW w:w="723" w:type="dxa"/>
            <w:shd w:val="clear" w:color="auto" w:fill="auto"/>
          </w:tcPr>
          <w:p w14:paraId="031CCE1B"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031B846E" w14:textId="77777777" w:rsidR="00394EB8" w:rsidRPr="00DE566E" w:rsidRDefault="00394EB8" w:rsidP="00E5527F">
            <w:pPr>
              <w:spacing w:before="120" w:after="120"/>
              <w:rPr>
                <w:rFonts w:ascii="Arial" w:eastAsia="Calibri" w:hAnsi="Arial" w:cs="Arial"/>
                <w:sz w:val="24"/>
                <w:szCs w:val="24"/>
              </w:rPr>
            </w:pPr>
          </w:p>
        </w:tc>
        <w:tc>
          <w:tcPr>
            <w:tcW w:w="850" w:type="dxa"/>
            <w:shd w:val="clear" w:color="auto" w:fill="auto"/>
          </w:tcPr>
          <w:p w14:paraId="51B4204B"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0647ADCB" w14:textId="77777777" w:rsidR="00394EB8" w:rsidRPr="00DE566E" w:rsidRDefault="00394EB8" w:rsidP="00E5527F">
            <w:pPr>
              <w:spacing w:before="120" w:after="120"/>
              <w:rPr>
                <w:rFonts w:ascii="Arial" w:eastAsia="Calibri" w:hAnsi="Arial" w:cs="Arial"/>
                <w:sz w:val="24"/>
                <w:szCs w:val="24"/>
              </w:rPr>
            </w:pPr>
          </w:p>
        </w:tc>
      </w:tr>
      <w:tr w:rsidR="00394EB8" w:rsidRPr="00DE566E" w14:paraId="27335C01" w14:textId="77777777" w:rsidTr="2AD8D8AA">
        <w:tc>
          <w:tcPr>
            <w:tcW w:w="6366" w:type="dxa"/>
            <w:shd w:val="clear" w:color="auto" w:fill="auto"/>
          </w:tcPr>
          <w:p w14:paraId="71BA5B91" w14:textId="5CA262B1" w:rsidR="00394EB8"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“A fee or charge should not be set lower than the cost of delivering that service.”</w:t>
            </w:r>
          </w:p>
        </w:tc>
        <w:tc>
          <w:tcPr>
            <w:tcW w:w="850" w:type="dxa"/>
            <w:shd w:val="clear" w:color="auto" w:fill="auto"/>
          </w:tcPr>
          <w:p w14:paraId="1557D006" w14:textId="77777777" w:rsidR="00394EB8" w:rsidRPr="00DE566E" w:rsidRDefault="00394EB8" w:rsidP="00E5527F">
            <w:pPr>
              <w:spacing w:before="120" w:after="120"/>
              <w:rPr>
                <w:rFonts w:ascii="Arial" w:eastAsia="Calibri" w:hAnsi="Arial" w:cs="Arial"/>
                <w:sz w:val="24"/>
                <w:szCs w:val="24"/>
              </w:rPr>
            </w:pPr>
          </w:p>
        </w:tc>
        <w:tc>
          <w:tcPr>
            <w:tcW w:w="723" w:type="dxa"/>
            <w:shd w:val="clear" w:color="auto" w:fill="auto"/>
          </w:tcPr>
          <w:p w14:paraId="64D443E1"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3E3CF671" w14:textId="77777777" w:rsidR="00394EB8" w:rsidRPr="00DE566E" w:rsidRDefault="00394EB8" w:rsidP="00E5527F">
            <w:pPr>
              <w:spacing w:before="120" w:after="120"/>
              <w:rPr>
                <w:rFonts w:ascii="Arial" w:eastAsia="Calibri" w:hAnsi="Arial" w:cs="Arial"/>
                <w:sz w:val="24"/>
                <w:szCs w:val="24"/>
              </w:rPr>
            </w:pPr>
          </w:p>
        </w:tc>
        <w:tc>
          <w:tcPr>
            <w:tcW w:w="850" w:type="dxa"/>
            <w:shd w:val="clear" w:color="auto" w:fill="auto"/>
          </w:tcPr>
          <w:p w14:paraId="43C70F83" w14:textId="77777777" w:rsidR="00394EB8" w:rsidRPr="00DE566E" w:rsidRDefault="00394EB8" w:rsidP="00E5527F">
            <w:pPr>
              <w:spacing w:before="120" w:after="120"/>
              <w:rPr>
                <w:rFonts w:ascii="Arial" w:eastAsia="Calibri" w:hAnsi="Arial" w:cs="Arial"/>
                <w:sz w:val="24"/>
                <w:szCs w:val="24"/>
              </w:rPr>
            </w:pPr>
          </w:p>
        </w:tc>
        <w:tc>
          <w:tcPr>
            <w:tcW w:w="851" w:type="dxa"/>
            <w:shd w:val="clear" w:color="auto" w:fill="auto"/>
          </w:tcPr>
          <w:p w14:paraId="46AAF2D9" w14:textId="77777777" w:rsidR="00394EB8" w:rsidRPr="00DE566E" w:rsidRDefault="00394EB8" w:rsidP="00E5527F">
            <w:pPr>
              <w:spacing w:before="120" w:after="120"/>
              <w:rPr>
                <w:rFonts w:ascii="Arial" w:eastAsia="Calibri" w:hAnsi="Arial" w:cs="Arial"/>
                <w:sz w:val="24"/>
                <w:szCs w:val="24"/>
              </w:rPr>
            </w:pPr>
          </w:p>
        </w:tc>
      </w:tr>
      <w:tr w:rsidR="00DB2EA0" w:rsidRPr="00DE566E" w14:paraId="5E00AF7A" w14:textId="77777777" w:rsidTr="2AD8D8AA">
        <w:tc>
          <w:tcPr>
            <w:tcW w:w="6366" w:type="dxa"/>
            <w:shd w:val="clear" w:color="auto" w:fill="auto"/>
          </w:tcPr>
          <w:p w14:paraId="0E6BC34C" w14:textId="7C700F00" w:rsidR="00DB2EA0" w:rsidRPr="00DE566E" w:rsidRDefault="2AD8D8AA" w:rsidP="2AD8D8AA">
            <w:pPr>
              <w:spacing w:before="120" w:after="120"/>
              <w:rPr>
                <w:rFonts w:ascii="Arial" w:eastAsia="Calibri" w:hAnsi="Arial" w:cs="Arial"/>
                <w:sz w:val="24"/>
                <w:szCs w:val="24"/>
              </w:rPr>
            </w:pPr>
            <w:r w:rsidRPr="2AD8D8AA">
              <w:rPr>
                <w:rFonts w:ascii="Arial" w:eastAsia="Calibri" w:hAnsi="Arial" w:cs="Arial"/>
                <w:sz w:val="24"/>
                <w:szCs w:val="24"/>
              </w:rPr>
              <w:t>“Fees and charges imposed by local government and fixed under legislation should increase by CPI annually.”</w:t>
            </w:r>
          </w:p>
        </w:tc>
        <w:tc>
          <w:tcPr>
            <w:tcW w:w="850" w:type="dxa"/>
            <w:shd w:val="clear" w:color="auto" w:fill="auto"/>
          </w:tcPr>
          <w:p w14:paraId="572FFF9E" w14:textId="77777777" w:rsidR="00DB2EA0" w:rsidRPr="00DE566E" w:rsidRDefault="00DB2EA0" w:rsidP="00E5527F">
            <w:pPr>
              <w:spacing w:before="120" w:after="120"/>
              <w:rPr>
                <w:rFonts w:ascii="Arial" w:eastAsia="Calibri" w:hAnsi="Arial" w:cs="Arial"/>
                <w:sz w:val="24"/>
                <w:szCs w:val="24"/>
              </w:rPr>
            </w:pPr>
          </w:p>
        </w:tc>
        <w:tc>
          <w:tcPr>
            <w:tcW w:w="723" w:type="dxa"/>
            <w:shd w:val="clear" w:color="auto" w:fill="auto"/>
          </w:tcPr>
          <w:p w14:paraId="676E3566" w14:textId="77777777" w:rsidR="00DB2EA0" w:rsidRPr="00DE566E" w:rsidRDefault="00DB2EA0" w:rsidP="00E5527F">
            <w:pPr>
              <w:spacing w:before="120" w:after="120"/>
              <w:rPr>
                <w:rFonts w:ascii="Arial" w:eastAsia="Calibri" w:hAnsi="Arial" w:cs="Arial"/>
                <w:sz w:val="24"/>
                <w:szCs w:val="24"/>
              </w:rPr>
            </w:pPr>
          </w:p>
        </w:tc>
        <w:tc>
          <w:tcPr>
            <w:tcW w:w="851" w:type="dxa"/>
            <w:shd w:val="clear" w:color="auto" w:fill="auto"/>
          </w:tcPr>
          <w:p w14:paraId="0A038491" w14:textId="77777777" w:rsidR="00DB2EA0" w:rsidRPr="00DE566E" w:rsidRDefault="00DB2EA0" w:rsidP="00E5527F">
            <w:pPr>
              <w:spacing w:before="120" w:after="120"/>
              <w:rPr>
                <w:rFonts w:ascii="Arial" w:eastAsia="Calibri" w:hAnsi="Arial" w:cs="Arial"/>
                <w:sz w:val="24"/>
                <w:szCs w:val="24"/>
              </w:rPr>
            </w:pPr>
          </w:p>
        </w:tc>
        <w:tc>
          <w:tcPr>
            <w:tcW w:w="850" w:type="dxa"/>
            <w:shd w:val="clear" w:color="auto" w:fill="auto"/>
          </w:tcPr>
          <w:p w14:paraId="4401617A" w14:textId="77777777" w:rsidR="00DB2EA0" w:rsidRPr="00DE566E" w:rsidRDefault="00DB2EA0" w:rsidP="00E5527F">
            <w:pPr>
              <w:spacing w:before="120" w:after="120"/>
              <w:rPr>
                <w:rFonts w:ascii="Arial" w:eastAsia="Calibri" w:hAnsi="Arial" w:cs="Arial"/>
                <w:sz w:val="24"/>
                <w:szCs w:val="24"/>
              </w:rPr>
            </w:pPr>
          </w:p>
        </w:tc>
        <w:tc>
          <w:tcPr>
            <w:tcW w:w="851" w:type="dxa"/>
            <w:shd w:val="clear" w:color="auto" w:fill="auto"/>
          </w:tcPr>
          <w:p w14:paraId="04056502" w14:textId="77777777" w:rsidR="00DB2EA0" w:rsidRPr="00DE566E" w:rsidRDefault="00DB2EA0" w:rsidP="00E5527F">
            <w:pPr>
              <w:spacing w:before="120" w:after="120"/>
              <w:rPr>
                <w:rFonts w:ascii="Arial" w:eastAsia="Calibri" w:hAnsi="Arial" w:cs="Arial"/>
                <w:sz w:val="24"/>
                <w:szCs w:val="24"/>
              </w:rPr>
            </w:pPr>
          </w:p>
        </w:tc>
      </w:tr>
    </w:tbl>
    <w:p w14:paraId="408744F7" w14:textId="4D0DEB86" w:rsidR="00A944BF" w:rsidRPr="005C20E9" w:rsidRDefault="00A944BF" w:rsidP="00A944BF">
      <w:pPr>
        <w:rPr>
          <w:rFonts w:ascii="Arial" w:hAnsi="Arial" w:cs="Arial"/>
        </w:rPr>
      </w:pPr>
    </w:p>
    <w:p w14:paraId="2A1145A7" w14:textId="2A6C88C1" w:rsidR="006753AF" w:rsidRPr="00526D91" w:rsidRDefault="2AD8D8AA" w:rsidP="2AD8D8AA">
      <w:pPr>
        <w:pStyle w:val="ListParagraph"/>
        <w:numPr>
          <w:ilvl w:val="0"/>
          <w:numId w:val="38"/>
        </w:numPr>
        <w:rPr>
          <w:rFonts w:ascii="Arial" w:hAnsi="Arial" w:cs="Arial"/>
          <w:sz w:val="24"/>
          <w:szCs w:val="24"/>
        </w:rPr>
      </w:pPr>
      <w:r w:rsidRPr="2AD8D8AA">
        <w:rPr>
          <w:rFonts w:ascii="Arial" w:hAnsi="Arial" w:cs="Arial"/>
          <w:sz w:val="24"/>
          <w:szCs w:val="24"/>
        </w:rPr>
        <w:t xml:space="preserve">Do you have any additional comments on the topic of rates, fees and charges? Additional information can also be provided to the review team via email at </w:t>
      </w:r>
      <w:hyperlink r:id="rId15">
        <w:r w:rsidRPr="2AD8D8AA">
          <w:rPr>
            <w:rStyle w:val="Hyperlink"/>
            <w:rFonts w:cs="Arial"/>
          </w:rPr>
          <w:t>actreview@dlgsc.wa.gov.au</w:t>
        </w:r>
      </w:hyperlink>
      <w:r w:rsidRPr="2AD8D8AA">
        <w:rPr>
          <w:rFonts w:ascii="Arial" w:hAnsi="Arial" w:cs="Arial"/>
          <w:sz w:val="24"/>
          <w:szCs w:val="24"/>
        </w:rPr>
        <w:t>.</w:t>
      </w:r>
      <w:bookmarkEnd w:id="37"/>
    </w:p>
    <w:sectPr w:rsidR="006753AF" w:rsidRPr="00526D91" w:rsidSect="002D5123">
      <w:headerReference w:type="default" r:id="rId16"/>
      <w:footerReference w:type="default" r:id="rId17"/>
      <w:headerReference w:type="first" r:id="rId18"/>
      <w:footerReference w:type="first" r:id="rId19"/>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8159" w14:textId="77777777" w:rsidR="00B26D27" w:rsidRDefault="00B26D27" w:rsidP="009C5549">
      <w:pPr>
        <w:spacing w:after="0" w:line="240" w:lineRule="auto"/>
      </w:pPr>
      <w:r>
        <w:separator/>
      </w:r>
    </w:p>
  </w:endnote>
  <w:endnote w:type="continuationSeparator" w:id="0">
    <w:p w14:paraId="6B4A0EFF" w14:textId="77777777" w:rsidR="00B26D27" w:rsidRDefault="00B26D27" w:rsidP="009C5549">
      <w:pPr>
        <w:spacing w:after="0" w:line="240" w:lineRule="auto"/>
      </w:pPr>
      <w:r>
        <w:continuationSeparator/>
      </w:r>
    </w:p>
  </w:endnote>
  <w:endnote w:type="continuationNotice" w:id="1">
    <w:p w14:paraId="70527C5A" w14:textId="77777777" w:rsidR="00B26D27" w:rsidRDefault="00B26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96142"/>
      <w:docPartObj>
        <w:docPartGallery w:val="Page Numbers (Bottom of Page)"/>
        <w:docPartUnique/>
      </w:docPartObj>
    </w:sdtPr>
    <w:sdtEndPr>
      <w:rPr>
        <w:color w:val="C0311A"/>
        <w:spacing w:val="60"/>
      </w:rPr>
    </w:sdtEndPr>
    <w:sdtContent>
      <w:p w14:paraId="1327E098" w14:textId="3F2FD39B" w:rsidR="00B26D27" w:rsidRPr="00E95FE0" w:rsidRDefault="00B26D27" w:rsidP="2AD8D8AA">
        <w:pPr>
          <w:pStyle w:val="Footer"/>
          <w:pBdr>
            <w:top w:val="single" w:sz="4" w:space="1" w:color="D9D9D9" w:themeColor="background1" w:themeShade="D9"/>
          </w:pBdr>
          <w:jc w:val="right"/>
          <w:rPr>
            <w:color w:val="C0311A"/>
          </w:rPr>
        </w:pPr>
        <w:r>
          <w:rPr>
            <w:noProof/>
          </w:rPr>
          <w:fldChar w:fldCharType="begin"/>
        </w:r>
        <w:r>
          <w:instrText xml:space="preserve"> PAGE   \* MERGEFORMAT </w:instrText>
        </w:r>
        <w:r>
          <w:fldChar w:fldCharType="separate"/>
        </w:r>
        <w:r w:rsidR="00386848">
          <w:rPr>
            <w:noProof/>
          </w:rPr>
          <w:t>12</w:t>
        </w:r>
        <w:r>
          <w:rPr>
            <w:noProof/>
          </w:rPr>
          <w:fldChar w:fldCharType="end"/>
        </w:r>
        <w:r>
          <w:t xml:space="preserve"> </w:t>
        </w:r>
        <w:r w:rsidRPr="00E95FE0">
          <w:rPr>
            <w:color w:val="C0311A"/>
          </w:rPr>
          <w:t xml:space="preserve">| </w:t>
        </w:r>
        <w:r w:rsidRPr="00E95FE0">
          <w:rPr>
            <w:color w:val="C0311A"/>
            <w:spacing w:val="60"/>
          </w:rPr>
          <w:t>Page</w:t>
        </w:r>
      </w:p>
    </w:sdtContent>
  </w:sdt>
  <w:p w14:paraId="19D2B1BE" w14:textId="77777777" w:rsidR="00B26D27" w:rsidRDefault="00B26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193"/>
      <w:docPartObj>
        <w:docPartGallery w:val="Page Numbers (Bottom of Page)"/>
        <w:docPartUnique/>
      </w:docPartObj>
    </w:sdtPr>
    <w:sdtEndPr>
      <w:rPr>
        <w:color w:val="7F7F7F" w:themeColor="background1" w:themeShade="7F"/>
        <w:spacing w:val="60"/>
      </w:rPr>
    </w:sdtEndPr>
    <w:sdtContent>
      <w:p w14:paraId="7350642A" w14:textId="7A844FA1" w:rsidR="00B26D27" w:rsidRDefault="00B26D27" w:rsidP="00E95FE0">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386848">
          <w:rPr>
            <w:noProof/>
          </w:rPr>
          <w:t>1</w:t>
        </w:r>
        <w:r>
          <w:rPr>
            <w:noProof/>
          </w:rPr>
          <w:fldChar w:fldCharType="end"/>
        </w:r>
        <w:r>
          <w:t xml:space="preserve"> </w:t>
        </w:r>
        <w:r w:rsidRPr="00F40177">
          <w:rPr>
            <w:color w:val="C00000"/>
          </w:rPr>
          <w:t xml:space="preserve">| </w:t>
        </w:r>
        <w:r w:rsidRPr="00F40177">
          <w:rPr>
            <w:color w:val="C00000"/>
            <w:spacing w:val="60"/>
          </w:rPr>
          <w:t>Page</w:t>
        </w:r>
      </w:p>
    </w:sdtContent>
  </w:sdt>
  <w:p w14:paraId="17108A5D" w14:textId="77777777" w:rsidR="00B26D27" w:rsidRDefault="00B2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5ABF" w14:textId="77777777" w:rsidR="00B26D27" w:rsidRDefault="00B26D27" w:rsidP="009C5549">
      <w:pPr>
        <w:spacing w:after="0" w:line="240" w:lineRule="auto"/>
      </w:pPr>
      <w:r>
        <w:separator/>
      </w:r>
    </w:p>
  </w:footnote>
  <w:footnote w:type="continuationSeparator" w:id="0">
    <w:p w14:paraId="4CB4E6B6" w14:textId="77777777" w:rsidR="00B26D27" w:rsidRDefault="00B26D27" w:rsidP="009C5549">
      <w:pPr>
        <w:spacing w:after="0" w:line="240" w:lineRule="auto"/>
      </w:pPr>
      <w:r>
        <w:continuationSeparator/>
      </w:r>
    </w:p>
  </w:footnote>
  <w:footnote w:type="continuationNotice" w:id="1">
    <w:p w14:paraId="524EBDFB" w14:textId="77777777" w:rsidR="00B26D27" w:rsidRDefault="00B26D27">
      <w:pPr>
        <w:spacing w:after="0" w:line="240" w:lineRule="auto"/>
      </w:pPr>
    </w:p>
  </w:footnote>
  <w:footnote w:id="2">
    <w:p w14:paraId="661E433F" w14:textId="77777777" w:rsidR="00B26D27" w:rsidRDefault="00B26D27" w:rsidP="008C3AFE">
      <w:pPr>
        <w:pStyle w:val="FootnoteText"/>
      </w:pPr>
      <w:r>
        <w:rPr>
          <w:rStyle w:val="FootnoteReference"/>
        </w:rPr>
        <w:footnoteRef/>
      </w:r>
      <w:r>
        <w:t xml:space="preserve"> </w:t>
      </w:r>
      <w:hyperlink r:id="rId1" w:history="1">
        <w:r w:rsidRPr="00610403">
          <w:rPr>
            <w:rStyle w:val="Hyperlink"/>
            <w:sz w:val="20"/>
          </w:rPr>
          <w:t>https://www.localgovernment.vic.gov.au/__data/assets/pdf_file/0020/48260/LG-Revenue-and-Rating-Strategy.pdf</w:t>
        </w:r>
      </w:hyperlink>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DB7F" w14:textId="2ADE9E89" w:rsidR="00B26D27" w:rsidRDefault="00B2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20E8" w14:textId="35DA6353" w:rsidR="00B26D27" w:rsidRDefault="00B26D27" w:rsidP="002D5123">
    <w:pPr>
      <w:pStyle w:val="Header"/>
      <w:ind w:left="-1418"/>
    </w:pPr>
    <w:r>
      <w:rPr>
        <w:noProof/>
        <w:lang w:eastAsia="en-AU"/>
      </w:rPr>
      <w:drawing>
        <wp:inline distT="0" distB="0" distL="0" distR="0" wp14:anchorId="1621409F" wp14:editId="24E71152">
          <wp:extent cx="7524750" cy="298539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24-8-18_agile tab.jpg"/>
                  <pic:cNvPicPr/>
                </pic:nvPicPr>
                <pic:blipFill>
                  <a:blip r:embed="rId1">
                    <a:extLst>
                      <a:ext uri="{28A0092B-C50C-407E-A947-70E740481C1C}">
                        <a14:useLocalDpi xmlns:a14="http://schemas.microsoft.com/office/drawing/2010/main" val="0"/>
                      </a:ext>
                    </a:extLst>
                  </a:blip>
                  <a:stretch>
                    <a:fillRect/>
                  </a:stretch>
                </pic:blipFill>
                <pic:spPr>
                  <a:xfrm>
                    <a:off x="0" y="0"/>
                    <a:ext cx="7538692" cy="2990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405"/>
    <w:multiLevelType w:val="hybridMultilevel"/>
    <w:tmpl w:val="1158DF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268B2"/>
    <w:multiLevelType w:val="hybridMultilevel"/>
    <w:tmpl w:val="19541F1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3185851"/>
    <w:multiLevelType w:val="hybridMultilevel"/>
    <w:tmpl w:val="C94C278C"/>
    <w:lvl w:ilvl="0" w:tplc="A6E88926">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F6525"/>
    <w:multiLevelType w:val="hybridMultilevel"/>
    <w:tmpl w:val="0E4248CE"/>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A76CF4"/>
    <w:multiLevelType w:val="hybridMultilevel"/>
    <w:tmpl w:val="37C88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92625"/>
    <w:multiLevelType w:val="hybridMultilevel"/>
    <w:tmpl w:val="021EA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CB5702"/>
    <w:multiLevelType w:val="hybridMultilevel"/>
    <w:tmpl w:val="575239B4"/>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AD3057"/>
    <w:multiLevelType w:val="hybridMultilevel"/>
    <w:tmpl w:val="71E2878E"/>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208CD"/>
    <w:multiLevelType w:val="hybridMultilevel"/>
    <w:tmpl w:val="B664C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A024F9"/>
    <w:multiLevelType w:val="hybridMultilevel"/>
    <w:tmpl w:val="AC48FBE8"/>
    <w:lvl w:ilvl="0" w:tplc="B4047E78">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5215D7"/>
    <w:multiLevelType w:val="hybridMultilevel"/>
    <w:tmpl w:val="0ED44F68"/>
    <w:lvl w:ilvl="0" w:tplc="44749096">
      <w:start w:val="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5D5F38"/>
    <w:multiLevelType w:val="hybridMultilevel"/>
    <w:tmpl w:val="68B2F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8A2B55"/>
    <w:multiLevelType w:val="hybridMultilevel"/>
    <w:tmpl w:val="811EF984"/>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7E7FD2"/>
    <w:multiLevelType w:val="hybridMultilevel"/>
    <w:tmpl w:val="ED70651E"/>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21233C"/>
    <w:multiLevelType w:val="hybridMultilevel"/>
    <w:tmpl w:val="71E2878E"/>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090A96"/>
    <w:multiLevelType w:val="hybridMultilevel"/>
    <w:tmpl w:val="811EF984"/>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C0A7C"/>
    <w:multiLevelType w:val="hybridMultilevel"/>
    <w:tmpl w:val="D368B396"/>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315520"/>
    <w:multiLevelType w:val="hybridMultilevel"/>
    <w:tmpl w:val="CFF6C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BC2315"/>
    <w:multiLevelType w:val="hybridMultilevel"/>
    <w:tmpl w:val="6EE60422"/>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E3F2CF3"/>
    <w:multiLevelType w:val="hybridMultilevel"/>
    <w:tmpl w:val="55C4D5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066D25"/>
    <w:multiLevelType w:val="hybridMultilevel"/>
    <w:tmpl w:val="ED84A5E4"/>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6A2EBC"/>
    <w:multiLevelType w:val="hybridMultilevel"/>
    <w:tmpl w:val="33B40DD4"/>
    <w:lvl w:ilvl="0" w:tplc="1F1E3E84">
      <w:start w:val="1"/>
      <w:numFmt w:val="decimal"/>
      <w:lvlText w:val="%1."/>
      <w:lvlJc w:val="left"/>
      <w:pPr>
        <w:ind w:left="360" w:hanging="360"/>
      </w:pPr>
    </w:lvl>
    <w:lvl w:ilvl="1" w:tplc="A788A0CA">
      <w:start w:val="1"/>
      <w:numFmt w:val="lowerLetter"/>
      <w:lvlText w:val="(%2)"/>
      <w:lvlJc w:val="left"/>
      <w:pPr>
        <w:ind w:left="1211"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213F98"/>
    <w:multiLevelType w:val="hybridMultilevel"/>
    <w:tmpl w:val="E6341E54"/>
    <w:lvl w:ilvl="0" w:tplc="0C090001">
      <w:start w:val="1"/>
      <w:numFmt w:val="bullet"/>
      <w:lvlText w:val=""/>
      <w:lvlJc w:val="left"/>
      <w:pPr>
        <w:ind w:left="955" w:hanging="360"/>
      </w:pPr>
      <w:rPr>
        <w:rFonts w:ascii="Symbol" w:hAnsi="Symbol"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4C134739"/>
    <w:multiLevelType w:val="hybridMultilevel"/>
    <w:tmpl w:val="2E4C94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C4A7B79"/>
    <w:multiLevelType w:val="hybridMultilevel"/>
    <w:tmpl w:val="32E4B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AE1158"/>
    <w:multiLevelType w:val="hybridMultilevel"/>
    <w:tmpl w:val="B114D7D0"/>
    <w:lvl w:ilvl="0" w:tplc="4826595C">
      <w:start w:val="41"/>
      <w:numFmt w:val="decimal"/>
      <w:lvlText w:val="%1."/>
      <w:lvlJc w:val="left"/>
      <w:pPr>
        <w:ind w:left="720" w:hanging="360"/>
      </w:pPr>
      <w:rPr>
        <w:rFonts w:hint="default"/>
      </w:rPr>
    </w:lvl>
    <w:lvl w:ilvl="1" w:tplc="A788A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867C2D"/>
    <w:multiLevelType w:val="hybridMultilevel"/>
    <w:tmpl w:val="3076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A259A1"/>
    <w:multiLevelType w:val="hybridMultilevel"/>
    <w:tmpl w:val="8CC6EF56"/>
    <w:lvl w:ilvl="0" w:tplc="9914FF16">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EB6693"/>
    <w:multiLevelType w:val="hybridMultilevel"/>
    <w:tmpl w:val="F8FA4620"/>
    <w:lvl w:ilvl="0" w:tplc="1F1E3E84">
      <w:start w:val="1"/>
      <w:numFmt w:val="decimal"/>
      <w:lvlText w:val="%1."/>
      <w:lvlJc w:val="left"/>
      <w:pPr>
        <w:ind w:left="360" w:hanging="360"/>
      </w:pPr>
    </w:lvl>
    <w:lvl w:ilvl="1" w:tplc="A788A0CA">
      <w:start w:val="1"/>
      <w:numFmt w:val="lowerLetter"/>
      <w:lvlText w:val="(%2)"/>
      <w:lvlJc w:val="left"/>
      <w:pPr>
        <w:ind w:left="2039"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FA4C9B"/>
    <w:multiLevelType w:val="hybridMultilevel"/>
    <w:tmpl w:val="6EE60422"/>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4764209"/>
    <w:multiLevelType w:val="hybridMultilevel"/>
    <w:tmpl w:val="1DB64624"/>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5D71F4"/>
    <w:multiLevelType w:val="hybridMultilevel"/>
    <w:tmpl w:val="ED70651E"/>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675A4F"/>
    <w:multiLevelType w:val="hybridMultilevel"/>
    <w:tmpl w:val="902A00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67558D7"/>
    <w:multiLevelType w:val="hybridMultilevel"/>
    <w:tmpl w:val="DEB43742"/>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487158"/>
    <w:multiLevelType w:val="hybridMultilevel"/>
    <w:tmpl w:val="50E48BD0"/>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606881"/>
    <w:multiLevelType w:val="hybridMultilevel"/>
    <w:tmpl w:val="DE62EAD8"/>
    <w:lvl w:ilvl="0" w:tplc="F7C84252">
      <w:start w:val="4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5B1581"/>
    <w:multiLevelType w:val="hybridMultilevel"/>
    <w:tmpl w:val="71E2878E"/>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4919F5"/>
    <w:multiLevelType w:val="hybridMultilevel"/>
    <w:tmpl w:val="20A4B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A43180"/>
    <w:multiLevelType w:val="hybridMultilevel"/>
    <w:tmpl w:val="554CB480"/>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8A15DB"/>
    <w:multiLevelType w:val="hybridMultilevel"/>
    <w:tmpl w:val="4FBC61A2"/>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10082F"/>
    <w:multiLevelType w:val="hybridMultilevel"/>
    <w:tmpl w:val="50E48BD0"/>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B44F6F"/>
    <w:multiLevelType w:val="hybridMultilevel"/>
    <w:tmpl w:val="4F72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1"/>
  </w:num>
  <w:num w:numId="4">
    <w:abstractNumId w:val="6"/>
  </w:num>
  <w:num w:numId="5">
    <w:abstractNumId w:val="32"/>
  </w:num>
  <w:num w:numId="6">
    <w:abstractNumId w:val="40"/>
  </w:num>
  <w:num w:numId="7">
    <w:abstractNumId w:val="3"/>
  </w:num>
  <w:num w:numId="8">
    <w:abstractNumId w:val="28"/>
  </w:num>
  <w:num w:numId="9">
    <w:abstractNumId w:val="42"/>
  </w:num>
  <w:num w:numId="10">
    <w:abstractNumId w:val="16"/>
  </w:num>
  <w:num w:numId="11">
    <w:abstractNumId w:val="9"/>
  </w:num>
  <w:num w:numId="12">
    <w:abstractNumId w:val="27"/>
  </w:num>
  <w:num w:numId="13">
    <w:abstractNumId w:val="34"/>
  </w:num>
  <w:num w:numId="14">
    <w:abstractNumId w:val="39"/>
  </w:num>
  <w:num w:numId="15">
    <w:abstractNumId w:val="2"/>
  </w:num>
  <w:num w:numId="16">
    <w:abstractNumId w:val="17"/>
  </w:num>
  <w:num w:numId="17">
    <w:abstractNumId w:val="1"/>
  </w:num>
  <w:num w:numId="18">
    <w:abstractNumId w:val="7"/>
  </w:num>
  <w:num w:numId="19">
    <w:abstractNumId w:val="31"/>
  </w:num>
  <w:num w:numId="20">
    <w:abstractNumId w:val="21"/>
  </w:num>
  <w:num w:numId="21">
    <w:abstractNumId w:val="26"/>
  </w:num>
  <w:num w:numId="22">
    <w:abstractNumId w:val="10"/>
  </w:num>
  <w:num w:numId="23">
    <w:abstractNumId w:val="36"/>
  </w:num>
  <w:num w:numId="24">
    <w:abstractNumId w:val="11"/>
  </w:num>
  <w:num w:numId="25">
    <w:abstractNumId w:val="30"/>
  </w:num>
  <w:num w:numId="26">
    <w:abstractNumId w:val="23"/>
  </w:num>
  <w:num w:numId="27">
    <w:abstractNumId w:val="25"/>
  </w:num>
  <w:num w:numId="28">
    <w:abstractNumId w:val="38"/>
  </w:num>
  <w:num w:numId="29">
    <w:abstractNumId w:val="18"/>
  </w:num>
  <w:num w:numId="30">
    <w:abstractNumId w:val="5"/>
  </w:num>
  <w:num w:numId="31">
    <w:abstractNumId w:val="29"/>
  </w:num>
  <w:num w:numId="32">
    <w:abstractNumId w:val="35"/>
  </w:num>
  <w:num w:numId="33">
    <w:abstractNumId w:val="19"/>
  </w:num>
  <w:num w:numId="34">
    <w:abstractNumId w:val="14"/>
  </w:num>
  <w:num w:numId="35">
    <w:abstractNumId w:val="15"/>
  </w:num>
  <w:num w:numId="36">
    <w:abstractNumId w:val="37"/>
  </w:num>
  <w:num w:numId="37">
    <w:abstractNumId w:val="13"/>
  </w:num>
  <w:num w:numId="38">
    <w:abstractNumId w:val="0"/>
  </w:num>
  <w:num w:numId="39">
    <w:abstractNumId w:val="8"/>
  </w:num>
  <w:num w:numId="40">
    <w:abstractNumId w:val="33"/>
  </w:num>
  <w:num w:numId="41">
    <w:abstractNumId w:val="24"/>
  </w:num>
  <w:num w:numId="42">
    <w:abstractNumId w:val="4"/>
  </w:num>
  <w:num w:numId="4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1D22"/>
    <w:rsid w:val="00002EAB"/>
    <w:rsid w:val="00003B28"/>
    <w:rsid w:val="00004325"/>
    <w:rsid w:val="00004E6B"/>
    <w:rsid w:val="00006434"/>
    <w:rsid w:val="00006B53"/>
    <w:rsid w:val="000120DD"/>
    <w:rsid w:val="000149FB"/>
    <w:rsid w:val="00014F9E"/>
    <w:rsid w:val="000165D4"/>
    <w:rsid w:val="00017777"/>
    <w:rsid w:val="00021224"/>
    <w:rsid w:val="00032C60"/>
    <w:rsid w:val="00044F58"/>
    <w:rsid w:val="0005080D"/>
    <w:rsid w:val="0005486A"/>
    <w:rsid w:val="0005641B"/>
    <w:rsid w:val="00060B2F"/>
    <w:rsid w:val="000614A9"/>
    <w:rsid w:val="00063A3A"/>
    <w:rsid w:val="000656F8"/>
    <w:rsid w:val="00066565"/>
    <w:rsid w:val="00067524"/>
    <w:rsid w:val="00076528"/>
    <w:rsid w:val="0007779A"/>
    <w:rsid w:val="00077A5A"/>
    <w:rsid w:val="00082D29"/>
    <w:rsid w:val="00083B72"/>
    <w:rsid w:val="000860C3"/>
    <w:rsid w:val="00092244"/>
    <w:rsid w:val="00092A62"/>
    <w:rsid w:val="000A06C2"/>
    <w:rsid w:val="000A5774"/>
    <w:rsid w:val="000A6279"/>
    <w:rsid w:val="000B2858"/>
    <w:rsid w:val="000B33EE"/>
    <w:rsid w:val="000C40B5"/>
    <w:rsid w:val="000D0390"/>
    <w:rsid w:val="000D13A1"/>
    <w:rsid w:val="000D2550"/>
    <w:rsid w:val="000D4BB8"/>
    <w:rsid w:val="000E0869"/>
    <w:rsid w:val="000E1A19"/>
    <w:rsid w:val="000E50C4"/>
    <w:rsid w:val="000E6FBF"/>
    <w:rsid w:val="000F0EC0"/>
    <w:rsid w:val="000F50CD"/>
    <w:rsid w:val="000F6EB4"/>
    <w:rsid w:val="001019D6"/>
    <w:rsid w:val="00103DB7"/>
    <w:rsid w:val="00104F98"/>
    <w:rsid w:val="00105644"/>
    <w:rsid w:val="001074B1"/>
    <w:rsid w:val="00111C93"/>
    <w:rsid w:val="001130C3"/>
    <w:rsid w:val="00116324"/>
    <w:rsid w:val="001171F5"/>
    <w:rsid w:val="00120AE7"/>
    <w:rsid w:val="00120C67"/>
    <w:rsid w:val="001211A3"/>
    <w:rsid w:val="00122090"/>
    <w:rsid w:val="00124780"/>
    <w:rsid w:val="00126E88"/>
    <w:rsid w:val="001331CE"/>
    <w:rsid w:val="0013412B"/>
    <w:rsid w:val="001349B4"/>
    <w:rsid w:val="0013727B"/>
    <w:rsid w:val="00140015"/>
    <w:rsid w:val="001412D6"/>
    <w:rsid w:val="0014780E"/>
    <w:rsid w:val="001503D0"/>
    <w:rsid w:val="001504DC"/>
    <w:rsid w:val="001511E5"/>
    <w:rsid w:val="001526CD"/>
    <w:rsid w:val="0015434D"/>
    <w:rsid w:val="0015578D"/>
    <w:rsid w:val="00157A2D"/>
    <w:rsid w:val="001661C7"/>
    <w:rsid w:val="00167231"/>
    <w:rsid w:val="00171C1F"/>
    <w:rsid w:val="00173AA8"/>
    <w:rsid w:val="00175DC1"/>
    <w:rsid w:val="00180D2E"/>
    <w:rsid w:val="00182282"/>
    <w:rsid w:val="00192AEA"/>
    <w:rsid w:val="00195047"/>
    <w:rsid w:val="001A40FA"/>
    <w:rsid w:val="001B15EC"/>
    <w:rsid w:val="001B16B5"/>
    <w:rsid w:val="001B25A7"/>
    <w:rsid w:val="001B7A2B"/>
    <w:rsid w:val="001C013D"/>
    <w:rsid w:val="001C0599"/>
    <w:rsid w:val="001C2632"/>
    <w:rsid w:val="001C3930"/>
    <w:rsid w:val="001C4841"/>
    <w:rsid w:val="001C4876"/>
    <w:rsid w:val="001C4917"/>
    <w:rsid w:val="001C5610"/>
    <w:rsid w:val="001C7D6B"/>
    <w:rsid w:val="001D137B"/>
    <w:rsid w:val="001D143E"/>
    <w:rsid w:val="001D187C"/>
    <w:rsid w:val="001D1ADB"/>
    <w:rsid w:val="001D2C09"/>
    <w:rsid w:val="001D4D57"/>
    <w:rsid w:val="001D66F4"/>
    <w:rsid w:val="001E0C50"/>
    <w:rsid w:val="001E2C62"/>
    <w:rsid w:val="001E4295"/>
    <w:rsid w:val="001E5632"/>
    <w:rsid w:val="001E6817"/>
    <w:rsid w:val="001E6FE0"/>
    <w:rsid w:val="001E705E"/>
    <w:rsid w:val="001E734A"/>
    <w:rsid w:val="001F1498"/>
    <w:rsid w:val="001F2380"/>
    <w:rsid w:val="001F4EC8"/>
    <w:rsid w:val="001F687C"/>
    <w:rsid w:val="00204310"/>
    <w:rsid w:val="002063DE"/>
    <w:rsid w:val="00206774"/>
    <w:rsid w:val="0020701B"/>
    <w:rsid w:val="0021004D"/>
    <w:rsid w:val="00210394"/>
    <w:rsid w:val="0021145A"/>
    <w:rsid w:val="00212E3E"/>
    <w:rsid w:val="00212EF9"/>
    <w:rsid w:val="002144BF"/>
    <w:rsid w:val="00215888"/>
    <w:rsid w:val="002208B0"/>
    <w:rsid w:val="00223957"/>
    <w:rsid w:val="00225472"/>
    <w:rsid w:val="00231D55"/>
    <w:rsid w:val="002342F0"/>
    <w:rsid w:val="00236F97"/>
    <w:rsid w:val="002404EF"/>
    <w:rsid w:val="00241999"/>
    <w:rsid w:val="00245793"/>
    <w:rsid w:val="0025013A"/>
    <w:rsid w:val="002518A3"/>
    <w:rsid w:val="002533D1"/>
    <w:rsid w:val="002568E4"/>
    <w:rsid w:val="00256BDC"/>
    <w:rsid w:val="00260A76"/>
    <w:rsid w:val="0026248D"/>
    <w:rsid w:val="00262B60"/>
    <w:rsid w:val="002637C9"/>
    <w:rsid w:val="00264B21"/>
    <w:rsid w:val="002675A4"/>
    <w:rsid w:val="00273EB4"/>
    <w:rsid w:val="0027431E"/>
    <w:rsid w:val="002800DB"/>
    <w:rsid w:val="002827B8"/>
    <w:rsid w:val="00286540"/>
    <w:rsid w:val="00295F15"/>
    <w:rsid w:val="00297FEC"/>
    <w:rsid w:val="002A286E"/>
    <w:rsid w:val="002A35EF"/>
    <w:rsid w:val="002A3BD5"/>
    <w:rsid w:val="002A643F"/>
    <w:rsid w:val="002B2C82"/>
    <w:rsid w:val="002B4722"/>
    <w:rsid w:val="002B6372"/>
    <w:rsid w:val="002C33A3"/>
    <w:rsid w:val="002C388D"/>
    <w:rsid w:val="002C40F2"/>
    <w:rsid w:val="002C4BA2"/>
    <w:rsid w:val="002C4ECA"/>
    <w:rsid w:val="002D1B0C"/>
    <w:rsid w:val="002D3043"/>
    <w:rsid w:val="002D3702"/>
    <w:rsid w:val="002D4DCB"/>
    <w:rsid w:val="002D5123"/>
    <w:rsid w:val="002D57F8"/>
    <w:rsid w:val="002D7BAE"/>
    <w:rsid w:val="002E18B7"/>
    <w:rsid w:val="002E1BDC"/>
    <w:rsid w:val="002E2AC3"/>
    <w:rsid w:val="002E3E37"/>
    <w:rsid w:val="002E58C6"/>
    <w:rsid w:val="002F02C4"/>
    <w:rsid w:val="002F12F9"/>
    <w:rsid w:val="002F1B3E"/>
    <w:rsid w:val="002F23E8"/>
    <w:rsid w:val="002F3C76"/>
    <w:rsid w:val="002F3D7C"/>
    <w:rsid w:val="002F4029"/>
    <w:rsid w:val="00300BA7"/>
    <w:rsid w:val="003038F2"/>
    <w:rsid w:val="00305FDB"/>
    <w:rsid w:val="00307D71"/>
    <w:rsid w:val="003124A3"/>
    <w:rsid w:val="00312EA1"/>
    <w:rsid w:val="0031307E"/>
    <w:rsid w:val="00313A1D"/>
    <w:rsid w:val="00313D27"/>
    <w:rsid w:val="00313F8C"/>
    <w:rsid w:val="003143BA"/>
    <w:rsid w:val="00322A98"/>
    <w:rsid w:val="0033233C"/>
    <w:rsid w:val="003329AA"/>
    <w:rsid w:val="00334E04"/>
    <w:rsid w:val="00335DF5"/>
    <w:rsid w:val="00340008"/>
    <w:rsid w:val="00342591"/>
    <w:rsid w:val="00342679"/>
    <w:rsid w:val="00343F17"/>
    <w:rsid w:val="003441B3"/>
    <w:rsid w:val="00345F4D"/>
    <w:rsid w:val="00346C8F"/>
    <w:rsid w:val="00351C98"/>
    <w:rsid w:val="003533C1"/>
    <w:rsid w:val="00353D46"/>
    <w:rsid w:val="00355A85"/>
    <w:rsid w:val="00355C17"/>
    <w:rsid w:val="00355D48"/>
    <w:rsid w:val="00360F6D"/>
    <w:rsid w:val="0036160B"/>
    <w:rsid w:val="00362AF8"/>
    <w:rsid w:val="0036317E"/>
    <w:rsid w:val="00364AED"/>
    <w:rsid w:val="00365DEA"/>
    <w:rsid w:val="00366CC3"/>
    <w:rsid w:val="0036711A"/>
    <w:rsid w:val="003702AD"/>
    <w:rsid w:val="00373E15"/>
    <w:rsid w:val="00380A89"/>
    <w:rsid w:val="00380CE7"/>
    <w:rsid w:val="00381B19"/>
    <w:rsid w:val="00382D44"/>
    <w:rsid w:val="00382F9B"/>
    <w:rsid w:val="003843AD"/>
    <w:rsid w:val="00384848"/>
    <w:rsid w:val="00384ACB"/>
    <w:rsid w:val="00384CB7"/>
    <w:rsid w:val="00384DA5"/>
    <w:rsid w:val="00386848"/>
    <w:rsid w:val="00390120"/>
    <w:rsid w:val="003931CC"/>
    <w:rsid w:val="003946A4"/>
    <w:rsid w:val="00394EB8"/>
    <w:rsid w:val="00394FE8"/>
    <w:rsid w:val="00395568"/>
    <w:rsid w:val="003959D5"/>
    <w:rsid w:val="0039699E"/>
    <w:rsid w:val="003A1FB3"/>
    <w:rsid w:val="003A3938"/>
    <w:rsid w:val="003A4C0C"/>
    <w:rsid w:val="003A6401"/>
    <w:rsid w:val="003B03D6"/>
    <w:rsid w:val="003B084F"/>
    <w:rsid w:val="003B12B3"/>
    <w:rsid w:val="003B22D5"/>
    <w:rsid w:val="003B3D51"/>
    <w:rsid w:val="003B4473"/>
    <w:rsid w:val="003B46D4"/>
    <w:rsid w:val="003B5B0F"/>
    <w:rsid w:val="003B6470"/>
    <w:rsid w:val="003B725F"/>
    <w:rsid w:val="003B72A1"/>
    <w:rsid w:val="003B7821"/>
    <w:rsid w:val="003C05ED"/>
    <w:rsid w:val="003C157E"/>
    <w:rsid w:val="003C17EB"/>
    <w:rsid w:val="003C4A29"/>
    <w:rsid w:val="003C4C42"/>
    <w:rsid w:val="003C5615"/>
    <w:rsid w:val="003C6369"/>
    <w:rsid w:val="003C6DB3"/>
    <w:rsid w:val="003C76B2"/>
    <w:rsid w:val="003D207B"/>
    <w:rsid w:val="003D2CAB"/>
    <w:rsid w:val="003D462B"/>
    <w:rsid w:val="003E0C52"/>
    <w:rsid w:val="003E2273"/>
    <w:rsid w:val="003E41F5"/>
    <w:rsid w:val="003E61A3"/>
    <w:rsid w:val="003E6DF5"/>
    <w:rsid w:val="003E72CA"/>
    <w:rsid w:val="003F2420"/>
    <w:rsid w:val="003F5985"/>
    <w:rsid w:val="003F67FA"/>
    <w:rsid w:val="00400089"/>
    <w:rsid w:val="004026AC"/>
    <w:rsid w:val="0040276C"/>
    <w:rsid w:val="004027DE"/>
    <w:rsid w:val="00403F7A"/>
    <w:rsid w:val="00404C91"/>
    <w:rsid w:val="00406350"/>
    <w:rsid w:val="00411234"/>
    <w:rsid w:val="004114AB"/>
    <w:rsid w:val="00412BAD"/>
    <w:rsid w:val="00413AB9"/>
    <w:rsid w:val="00414F8E"/>
    <w:rsid w:val="00415744"/>
    <w:rsid w:val="004160C0"/>
    <w:rsid w:val="00417807"/>
    <w:rsid w:val="0042124D"/>
    <w:rsid w:val="00421B14"/>
    <w:rsid w:val="004227EB"/>
    <w:rsid w:val="00423417"/>
    <w:rsid w:val="00424FB1"/>
    <w:rsid w:val="00425E11"/>
    <w:rsid w:val="004318CD"/>
    <w:rsid w:val="00434B5B"/>
    <w:rsid w:val="00437BC7"/>
    <w:rsid w:val="00441E67"/>
    <w:rsid w:val="00442A33"/>
    <w:rsid w:val="004442A8"/>
    <w:rsid w:val="0044449D"/>
    <w:rsid w:val="00446D8F"/>
    <w:rsid w:val="0045013A"/>
    <w:rsid w:val="00453212"/>
    <w:rsid w:val="004561C0"/>
    <w:rsid w:val="00456B5D"/>
    <w:rsid w:val="00460009"/>
    <w:rsid w:val="004604EE"/>
    <w:rsid w:val="004606DF"/>
    <w:rsid w:val="00461549"/>
    <w:rsid w:val="00461D02"/>
    <w:rsid w:val="00463BB3"/>
    <w:rsid w:val="0047008C"/>
    <w:rsid w:val="0047034A"/>
    <w:rsid w:val="00473A24"/>
    <w:rsid w:val="004749D9"/>
    <w:rsid w:val="00474C3F"/>
    <w:rsid w:val="00474C41"/>
    <w:rsid w:val="00475CF4"/>
    <w:rsid w:val="0047603A"/>
    <w:rsid w:val="00477324"/>
    <w:rsid w:val="004839A7"/>
    <w:rsid w:val="00483CE6"/>
    <w:rsid w:val="004879C7"/>
    <w:rsid w:val="00493439"/>
    <w:rsid w:val="00494E13"/>
    <w:rsid w:val="00495253"/>
    <w:rsid w:val="00496365"/>
    <w:rsid w:val="004A0883"/>
    <w:rsid w:val="004A1E84"/>
    <w:rsid w:val="004A3321"/>
    <w:rsid w:val="004A7B4B"/>
    <w:rsid w:val="004A7DC7"/>
    <w:rsid w:val="004B0217"/>
    <w:rsid w:val="004B320D"/>
    <w:rsid w:val="004B441E"/>
    <w:rsid w:val="004B5095"/>
    <w:rsid w:val="004B5178"/>
    <w:rsid w:val="004B60B8"/>
    <w:rsid w:val="004B65A3"/>
    <w:rsid w:val="004B68E0"/>
    <w:rsid w:val="004C5997"/>
    <w:rsid w:val="004C5A4E"/>
    <w:rsid w:val="004D0960"/>
    <w:rsid w:val="004D0DC4"/>
    <w:rsid w:val="004D35AA"/>
    <w:rsid w:val="004D6DA3"/>
    <w:rsid w:val="004D7098"/>
    <w:rsid w:val="004E1A7E"/>
    <w:rsid w:val="004E6B43"/>
    <w:rsid w:val="004F0097"/>
    <w:rsid w:val="004F3027"/>
    <w:rsid w:val="004F3FAA"/>
    <w:rsid w:val="004F5576"/>
    <w:rsid w:val="004F6212"/>
    <w:rsid w:val="005006CC"/>
    <w:rsid w:val="005023F6"/>
    <w:rsid w:val="00502775"/>
    <w:rsid w:val="00503F82"/>
    <w:rsid w:val="005048C5"/>
    <w:rsid w:val="005060FC"/>
    <w:rsid w:val="0051099E"/>
    <w:rsid w:val="005133CC"/>
    <w:rsid w:val="00515D8E"/>
    <w:rsid w:val="005177AA"/>
    <w:rsid w:val="0052228D"/>
    <w:rsid w:val="00523FF6"/>
    <w:rsid w:val="00526A45"/>
    <w:rsid w:val="00526D91"/>
    <w:rsid w:val="00527002"/>
    <w:rsid w:val="00527515"/>
    <w:rsid w:val="00527B8D"/>
    <w:rsid w:val="00530C69"/>
    <w:rsid w:val="00532E2A"/>
    <w:rsid w:val="0053353D"/>
    <w:rsid w:val="00533FBD"/>
    <w:rsid w:val="00536961"/>
    <w:rsid w:val="00537D4B"/>
    <w:rsid w:val="00541022"/>
    <w:rsid w:val="00545770"/>
    <w:rsid w:val="00545AD4"/>
    <w:rsid w:val="00552143"/>
    <w:rsid w:val="00553057"/>
    <w:rsid w:val="0055645F"/>
    <w:rsid w:val="00556544"/>
    <w:rsid w:val="005607CB"/>
    <w:rsid w:val="00560802"/>
    <w:rsid w:val="00561255"/>
    <w:rsid w:val="00561B6E"/>
    <w:rsid w:val="00561DBA"/>
    <w:rsid w:val="00562FD6"/>
    <w:rsid w:val="00563F0D"/>
    <w:rsid w:val="00565286"/>
    <w:rsid w:val="00567AD6"/>
    <w:rsid w:val="00567E43"/>
    <w:rsid w:val="00573E2F"/>
    <w:rsid w:val="00574593"/>
    <w:rsid w:val="0057582C"/>
    <w:rsid w:val="0057702B"/>
    <w:rsid w:val="00580F20"/>
    <w:rsid w:val="005830C9"/>
    <w:rsid w:val="00584887"/>
    <w:rsid w:val="005848F5"/>
    <w:rsid w:val="00585D88"/>
    <w:rsid w:val="00587AAC"/>
    <w:rsid w:val="00596885"/>
    <w:rsid w:val="005A10C5"/>
    <w:rsid w:val="005A24EA"/>
    <w:rsid w:val="005A4A8F"/>
    <w:rsid w:val="005A50AB"/>
    <w:rsid w:val="005B070F"/>
    <w:rsid w:val="005B0C0E"/>
    <w:rsid w:val="005B11E2"/>
    <w:rsid w:val="005B1291"/>
    <w:rsid w:val="005B2CA6"/>
    <w:rsid w:val="005B4F4F"/>
    <w:rsid w:val="005B5124"/>
    <w:rsid w:val="005B65FA"/>
    <w:rsid w:val="005C02FB"/>
    <w:rsid w:val="005C0372"/>
    <w:rsid w:val="005C17C9"/>
    <w:rsid w:val="005C20E9"/>
    <w:rsid w:val="005C36EF"/>
    <w:rsid w:val="005C7C77"/>
    <w:rsid w:val="005D1670"/>
    <w:rsid w:val="005D2BF2"/>
    <w:rsid w:val="005D3DE9"/>
    <w:rsid w:val="005D401A"/>
    <w:rsid w:val="005D5EB1"/>
    <w:rsid w:val="005D6C39"/>
    <w:rsid w:val="005D74EC"/>
    <w:rsid w:val="005E16D0"/>
    <w:rsid w:val="005E4073"/>
    <w:rsid w:val="005E6423"/>
    <w:rsid w:val="005E72EB"/>
    <w:rsid w:val="005F06EA"/>
    <w:rsid w:val="005F232E"/>
    <w:rsid w:val="005F53B9"/>
    <w:rsid w:val="005F7B80"/>
    <w:rsid w:val="00601BEE"/>
    <w:rsid w:val="00603460"/>
    <w:rsid w:val="00606E98"/>
    <w:rsid w:val="00611601"/>
    <w:rsid w:val="00614104"/>
    <w:rsid w:val="00617A04"/>
    <w:rsid w:val="00621383"/>
    <w:rsid w:val="00626EC5"/>
    <w:rsid w:val="00630F43"/>
    <w:rsid w:val="0063491B"/>
    <w:rsid w:val="00634FB9"/>
    <w:rsid w:val="00635467"/>
    <w:rsid w:val="00635930"/>
    <w:rsid w:val="006379AA"/>
    <w:rsid w:val="00642D3D"/>
    <w:rsid w:val="0064677E"/>
    <w:rsid w:val="00646990"/>
    <w:rsid w:val="00647C2F"/>
    <w:rsid w:val="00650B63"/>
    <w:rsid w:val="006576AD"/>
    <w:rsid w:val="006608A8"/>
    <w:rsid w:val="00665492"/>
    <w:rsid w:val="00665D2C"/>
    <w:rsid w:val="00666035"/>
    <w:rsid w:val="006708F0"/>
    <w:rsid w:val="006727BD"/>
    <w:rsid w:val="006732D7"/>
    <w:rsid w:val="006743F0"/>
    <w:rsid w:val="006753AF"/>
    <w:rsid w:val="006810CD"/>
    <w:rsid w:val="00681172"/>
    <w:rsid w:val="0068141B"/>
    <w:rsid w:val="00681F20"/>
    <w:rsid w:val="00685C6D"/>
    <w:rsid w:val="006862F7"/>
    <w:rsid w:val="0069308C"/>
    <w:rsid w:val="0069531F"/>
    <w:rsid w:val="00695741"/>
    <w:rsid w:val="00695A0F"/>
    <w:rsid w:val="00697A99"/>
    <w:rsid w:val="006A01B1"/>
    <w:rsid w:val="006A141E"/>
    <w:rsid w:val="006A3E94"/>
    <w:rsid w:val="006A5224"/>
    <w:rsid w:val="006A72AD"/>
    <w:rsid w:val="006B3230"/>
    <w:rsid w:val="006B3569"/>
    <w:rsid w:val="006B3A64"/>
    <w:rsid w:val="006B3FA6"/>
    <w:rsid w:val="006B4258"/>
    <w:rsid w:val="006B4495"/>
    <w:rsid w:val="006B4F90"/>
    <w:rsid w:val="006B5459"/>
    <w:rsid w:val="006B5F96"/>
    <w:rsid w:val="006B63FA"/>
    <w:rsid w:val="006C044A"/>
    <w:rsid w:val="006D0944"/>
    <w:rsid w:val="006D14D2"/>
    <w:rsid w:val="006D3BAC"/>
    <w:rsid w:val="006D4009"/>
    <w:rsid w:val="006D4649"/>
    <w:rsid w:val="006E10DE"/>
    <w:rsid w:val="006E1A14"/>
    <w:rsid w:val="006E2177"/>
    <w:rsid w:val="006E296F"/>
    <w:rsid w:val="006E3EBA"/>
    <w:rsid w:val="006E44BE"/>
    <w:rsid w:val="006E617F"/>
    <w:rsid w:val="006E6B6C"/>
    <w:rsid w:val="006F0107"/>
    <w:rsid w:val="006F0750"/>
    <w:rsid w:val="006F1888"/>
    <w:rsid w:val="006F2AA6"/>
    <w:rsid w:val="006F3286"/>
    <w:rsid w:val="006F4BE8"/>
    <w:rsid w:val="006F6E39"/>
    <w:rsid w:val="00707C8D"/>
    <w:rsid w:val="00710902"/>
    <w:rsid w:val="00712652"/>
    <w:rsid w:val="0071283C"/>
    <w:rsid w:val="0071467C"/>
    <w:rsid w:val="00714DCB"/>
    <w:rsid w:val="00720C2C"/>
    <w:rsid w:val="00723CD4"/>
    <w:rsid w:val="00723EA9"/>
    <w:rsid w:val="007244CE"/>
    <w:rsid w:val="007248F8"/>
    <w:rsid w:val="007266F6"/>
    <w:rsid w:val="0072766B"/>
    <w:rsid w:val="00731715"/>
    <w:rsid w:val="00732F60"/>
    <w:rsid w:val="00734853"/>
    <w:rsid w:val="0073669A"/>
    <w:rsid w:val="007406F8"/>
    <w:rsid w:val="00740F19"/>
    <w:rsid w:val="007418D6"/>
    <w:rsid w:val="00743674"/>
    <w:rsid w:val="00746A6B"/>
    <w:rsid w:val="0074739B"/>
    <w:rsid w:val="00751FDC"/>
    <w:rsid w:val="0075514E"/>
    <w:rsid w:val="00757587"/>
    <w:rsid w:val="00762198"/>
    <w:rsid w:val="00765ACC"/>
    <w:rsid w:val="007660C4"/>
    <w:rsid w:val="0077308F"/>
    <w:rsid w:val="00774E43"/>
    <w:rsid w:val="0078350D"/>
    <w:rsid w:val="00783682"/>
    <w:rsid w:val="00785B1C"/>
    <w:rsid w:val="0078658E"/>
    <w:rsid w:val="007927A1"/>
    <w:rsid w:val="007972DE"/>
    <w:rsid w:val="00797917"/>
    <w:rsid w:val="007A11EC"/>
    <w:rsid w:val="007A1891"/>
    <w:rsid w:val="007A2AE0"/>
    <w:rsid w:val="007A3164"/>
    <w:rsid w:val="007A5068"/>
    <w:rsid w:val="007B15D6"/>
    <w:rsid w:val="007B237C"/>
    <w:rsid w:val="007B3102"/>
    <w:rsid w:val="007B4491"/>
    <w:rsid w:val="007B4EB4"/>
    <w:rsid w:val="007C7217"/>
    <w:rsid w:val="007D16EB"/>
    <w:rsid w:val="007D2548"/>
    <w:rsid w:val="007D6297"/>
    <w:rsid w:val="007E1C63"/>
    <w:rsid w:val="007E3FA2"/>
    <w:rsid w:val="007E58AC"/>
    <w:rsid w:val="007E7163"/>
    <w:rsid w:val="007F02E2"/>
    <w:rsid w:val="007F04A3"/>
    <w:rsid w:val="007F05AC"/>
    <w:rsid w:val="007F0F78"/>
    <w:rsid w:val="007F5D7E"/>
    <w:rsid w:val="007F5D9F"/>
    <w:rsid w:val="00807B66"/>
    <w:rsid w:val="00811EE1"/>
    <w:rsid w:val="0081240C"/>
    <w:rsid w:val="00813D1E"/>
    <w:rsid w:val="0081418E"/>
    <w:rsid w:val="008141E4"/>
    <w:rsid w:val="008146FE"/>
    <w:rsid w:val="00814BC4"/>
    <w:rsid w:val="00814C5B"/>
    <w:rsid w:val="00814C6C"/>
    <w:rsid w:val="008160FB"/>
    <w:rsid w:val="00817C3B"/>
    <w:rsid w:val="00826D95"/>
    <w:rsid w:val="0083239C"/>
    <w:rsid w:val="008427B2"/>
    <w:rsid w:val="00845622"/>
    <w:rsid w:val="00847451"/>
    <w:rsid w:val="008477B4"/>
    <w:rsid w:val="00847E53"/>
    <w:rsid w:val="0085288D"/>
    <w:rsid w:val="00856F62"/>
    <w:rsid w:val="00860F1F"/>
    <w:rsid w:val="00863F8F"/>
    <w:rsid w:val="00865A69"/>
    <w:rsid w:val="0086664B"/>
    <w:rsid w:val="008674C6"/>
    <w:rsid w:val="00867D1C"/>
    <w:rsid w:val="008702F8"/>
    <w:rsid w:val="00870D6E"/>
    <w:rsid w:val="00872331"/>
    <w:rsid w:val="0087278B"/>
    <w:rsid w:val="00872A90"/>
    <w:rsid w:val="00873E9C"/>
    <w:rsid w:val="008744A2"/>
    <w:rsid w:val="00875543"/>
    <w:rsid w:val="00877813"/>
    <w:rsid w:val="00877F49"/>
    <w:rsid w:val="00883530"/>
    <w:rsid w:val="00891175"/>
    <w:rsid w:val="008915F0"/>
    <w:rsid w:val="008920E1"/>
    <w:rsid w:val="0089733E"/>
    <w:rsid w:val="008A0A75"/>
    <w:rsid w:val="008A2EC8"/>
    <w:rsid w:val="008A2EF7"/>
    <w:rsid w:val="008A7F1D"/>
    <w:rsid w:val="008B2B23"/>
    <w:rsid w:val="008B3DB3"/>
    <w:rsid w:val="008B4205"/>
    <w:rsid w:val="008B503D"/>
    <w:rsid w:val="008B6F75"/>
    <w:rsid w:val="008C1BF5"/>
    <w:rsid w:val="008C3429"/>
    <w:rsid w:val="008C37C1"/>
    <w:rsid w:val="008C3943"/>
    <w:rsid w:val="008C3AFE"/>
    <w:rsid w:val="008D0AE5"/>
    <w:rsid w:val="008D0B56"/>
    <w:rsid w:val="008D35E8"/>
    <w:rsid w:val="008D3B49"/>
    <w:rsid w:val="008D5864"/>
    <w:rsid w:val="008D6005"/>
    <w:rsid w:val="008D6067"/>
    <w:rsid w:val="008D6512"/>
    <w:rsid w:val="008D6863"/>
    <w:rsid w:val="008D69A5"/>
    <w:rsid w:val="008E2780"/>
    <w:rsid w:val="008E33B1"/>
    <w:rsid w:val="008E6BC4"/>
    <w:rsid w:val="008F01C3"/>
    <w:rsid w:val="008F1130"/>
    <w:rsid w:val="008F1427"/>
    <w:rsid w:val="008F175A"/>
    <w:rsid w:val="008F4B2B"/>
    <w:rsid w:val="00900C95"/>
    <w:rsid w:val="00900DC4"/>
    <w:rsid w:val="009016CD"/>
    <w:rsid w:val="009029B0"/>
    <w:rsid w:val="00903DFA"/>
    <w:rsid w:val="00903F7B"/>
    <w:rsid w:val="00905834"/>
    <w:rsid w:val="00905A58"/>
    <w:rsid w:val="00910A53"/>
    <w:rsid w:val="00913D01"/>
    <w:rsid w:val="00915E50"/>
    <w:rsid w:val="00917CDE"/>
    <w:rsid w:val="009208F9"/>
    <w:rsid w:val="0092098A"/>
    <w:rsid w:val="00920D63"/>
    <w:rsid w:val="0092437F"/>
    <w:rsid w:val="00924588"/>
    <w:rsid w:val="009253EC"/>
    <w:rsid w:val="00925C3F"/>
    <w:rsid w:val="009306A2"/>
    <w:rsid w:val="00930832"/>
    <w:rsid w:val="00930DD9"/>
    <w:rsid w:val="00933A20"/>
    <w:rsid w:val="00940661"/>
    <w:rsid w:val="00940E54"/>
    <w:rsid w:val="00941509"/>
    <w:rsid w:val="009419FB"/>
    <w:rsid w:val="00941D2C"/>
    <w:rsid w:val="00942574"/>
    <w:rsid w:val="00942A08"/>
    <w:rsid w:val="009446A9"/>
    <w:rsid w:val="00944915"/>
    <w:rsid w:val="0094594B"/>
    <w:rsid w:val="00946EA9"/>
    <w:rsid w:val="009504DF"/>
    <w:rsid w:val="00950A52"/>
    <w:rsid w:val="00951117"/>
    <w:rsid w:val="00952DA5"/>
    <w:rsid w:val="009567A8"/>
    <w:rsid w:val="00960CD6"/>
    <w:rsid w:val="00962ABD"/>
    <w:rsid w:val="0096769B"/>
    <w:rsid w:val="0098143A"/>
    <w:rsid w:val="00985AAA"/>
    <w:rsid w:val="009927DC"/>
    <w:rsid w:val="009927F8"/>
    <w:rsid w:val="00992E05"/>
    <w:rsid w:val="0099357C"/>
    <w:rsid w:val="00993A0D"/>
    <w:rsid w:val="009958F3"/>
    <w:rsid w:val="00996FBF"/>
    <w:rsid w:val="009A0C7E"/>
    <w:rsid w:val="009A1444"/>
    <w:rsid w:val="009A2490"/>
    <w:rsid w:val="009A2834"/>
    <w:rsid w:val="009A506C"/>
    <w:rsid w:val="009A5C24"/>
    <w:rsid w:val="009A6FAB"/>
    <w:rsid w:val="009B59A8"/>
    <w:rsid w:val="009B67DC"/>
    <w:rsid w:val="009C15EA"/>
    <w:rsid w:val="009C26DA"/>
    <w:rsid w:val="009C2BC1"/>
    <w:rsid w:val="009C3CC7"/>
    <w:rsid w:val="009C4602"/>
    <w:rsid w:val="009C4F4A"/>
    <w:rsid w:val="009C5549"/>
    <w:rsid w:val="009C691B"/>
    <w:rsid w:val="009C6D59"/>
    <w:rsid w:val="009D0F07"/>
    <w:rsid w:val="009D16C4"/>
    <w:rsid w:val="009D26A2"/>
    <w:rsid w:val="009D5D52"/>
    <w:rsid w:val="009D66AF"/>
    <w:rsid w:val="009D6A97"/>
    <w:rsid w:val="009D7153"/>
    <w:rsid w:val="009E1D24"/>
    <w:rsid w:val="009E2129"/>
    <w:rsid w:val="009E68C2"/>
    <w:rsid w:val="009E6B79"/>
    <w:rsid w:val="009E7B27"/>
    <w:rsid w:val="009F1BE9"/>
    <w:rsid w:val="009F1ECA"/>
    <w:rsid w:val="009F22FD"/>
    <w:rsid w:val="009F42E5"/>
    <w:rsid w:val="00A00679"/>
    <w:rsid w:val="00A01A3E"/>
    <w:rsid w:val="00A055C9"/>
    <w:rsid w:val="00A05BA8"/>
    <w:rsid w:val="00A06DCA"/>
    <w:rsid w:val="00A11E0E"/>
    <w:rsid w:val="00A22053"/>
    <w:rsid w:val="00A25B3B"/>
    <w:rsid w:val="00A313DF"/>
    <w:rsid w:val="00A32256"/>
    <w:rsid w:val="00A33251"/>
    <w:rsid w:val="00A337D5"/>
    <w:rsid w:val="00A34C67"/>
    <w:rsid w:val="00A34D86"/>
    <w:rsid w:val="00A4523D"/>
    <w:rsid w:val="00A452FE"/>
    <w:rsid w:val="00A45918"/>
    <w:rsid w:val="00A46FB1"/>
    <w:rsid w:val="00A517E4"/>
    <w:rsid w:val="00A51D83"/>
    <w:rsid w:val="00A51F83"/>
    <w:rsid w:val="00A54857"/>
    <w:rsid w:val="00A5545A"/>
    <w:rsid w:val="00A6023F"/>
    <w:rsid w:val="00A60BC9"/>
    <w:rsid w:val="00A613FC"/>
    <w:rsid w:val="00A62C98"/>
    <w:rsid w:val="00A63287"/>
    <w:rsid w:val="00A638D0"/>
    <w:rsid w:val="00A63D41"/>
    <w:rsid w:val="00A65001"/>
    <w:rsid w:val="00A70C8E"/>
    <w:rsid w:val="00A7101A"/>
    <w:rsid w:val="00A73D06"/>
    <w:rsid w:val="00A75226"/>
    <w:rsid w:val="00A764AC"/>
    <w:rsid w:val="00A81289"/>
    <w:rsid w:val="00A83EFB"/>
    <w:rsid w:val="00A83FC1"/>
    <w:rsid w:val="00A84004"/>
    <w:rsid w:val="00A846A1"/>
    <w:rsid w:val="00A849F6"/>
    <w:rsid w:val="00A87E03"/>
    <w:rsid w:val="00A908D7"/>
    <w:rsid w:val="00A944BF"/>
    <w:rsid w:val="00A964A0"/>
    <w:rsid w:val="00A96D41"/>
    <w:rsid w:val="00A97D95"/>
    <w:rsid w:val="00AA3CBD"/>
    <w:rsid w:val="00AA4183"/>
    <w:rsid w:val="00AA601B"/>
    <w:rsid w:val="00AB1B72"/>
    <w:rsid w:val="00AB4570"/>
    <w:rsid w:val="00AB671D"/>
    <w:rsid w:val="00AB6920"/>
    <w:rsid w:val="00AB768D"/>
    <w:rsid w:val="00AC2182"/>
    <w:rsid w:val="00AC30C4"/>
    <w:rsid w:val="00AC4F70"/>
    <w:rsid w:val="00AC5579"/>
    <w:rsid w:val="00AD033A"/>
    <w:rsid w:val="00AD226F"/>
    <w:rsid w:val="00AD2A8A"/>
    <w:rsid w:val="00AD5712"/>
    <w:rsid w:val="00AD739E"/>
    <w:rsid w:val="00AE00B3"/>
    <w:rsid w:val="00AE1453"/>
    <w:rsid w:val="00AE47CA"/>
    <w:rsid w:val="00AE4C96"/>
    <w:rsid w:val="00AE5459"/>
    <w:rsid w:val="00AE6069"/>
    <w:rsid w:val="00AE76A4"/>
    <w:rsid w:val="00AF0343"/>
    <w:rsid w:val="00AF07E1"/>
    <w:rsid w:val="00AF3FCB"/>
    <w:rsid w:val="00AF43A8"/>
    <w:rsid w:val="00AF6590"/>
    <w:rsid w:val="00AF7206"/>
    <w:rsid w:val="00B00F95"/>
    <w:rsid w:val="00B0164B"/>
    <w:rsid w:val="00B0211B"/>
    <w:rsid w:val="00B04722"/>
    <w:rsid w:val="00B0475F"/>
    <w:rsid w:val="00B06A65"/>
    <w:rsid w:val="00B079C9"/>
    <w:rsid w:val="00B12AD2"/>
    <w:rsid w:val="00B14065"/>
    <w:rsid w:val="00B15613"/>
    <w:rsid w:val="00B16257"/>
    <w:rsid w:val="00B16EDC"/>
    <w:rsid w:val="00B20291"/>
    <w:rsid w:val="00B25292"/>
    <w:rsid w:val="00B25798"/>
    <w:rsid w:val="00B25CE1"/>
    <w:rsid w:val="00B26387"/>
    <w:rsid w:val="00B26969"/>
    <w:rsid w:val="00B26D27"/>
    <w:rsid w:val="00B27B03"/>
    <w:rsid w:val="00B312EF"/>
    <w:rsid w:val="00B33B5A"/>
    <w:rsid w:val="00B342AF"/>
    <w:rsid w:val="00B40CCF"/>
    <w:rsid w:val="00B42242"/>
    <w:rsid w:val="00B4229C"/>
    <w:rsid w:val="00B43A31"/>
    <w:rsid w:val="00B461A9"/>
    <w:rsid w:val="00B46679"/>
    <w:rsid w:val="00B46C64"/>
    <w:rsid w:val="00B47AC7"/>
    <w:rsid w:val="00B53643"/>
    <w:rsid w:val="00B547B9"/>
    <w:rsid w:val="00B63BC8"/>
    <w:rsid w:val="00B668D6"/>
    <w:rsid w:val="00B70DB1"/>
    <w:rsid w:val="00B71D3F"/>
    <w:rsid w:val="00B72D85"/>
    <w:rsid w:val="00B7637F"/>
    <w:rsid w:val="00B76BEC"/>
    <w:rsid w:val="00B8229E"/>
    <w:rsid w:val="00B85EF7"/>
    <w:rsid w:val="00B877C2"/>
    <w:rsid w:val="00B9160D"/>
    <w:rsid w:val="00B92626"/>
    <w:rsid w:val="00B9489F"/>
    <w:rsid w:val="00BA03C8"/>
    <w:rsid w:val="00BA0456"/>
    <w:rsid w:val="00BA1B54"/>
    <w:rsid w:val="00BA354A"/>
    <w:rsid w:val="00BA731E"/>
    <w:rsid w:val="00BB3F0C"/>
    <w:rsid w:val="00BB6663"/>
    <w:rsid w:val="00BB6CB3"/>
    <w:rsid w:val="00BB76A8"/>
    <w:rsid w:val="00BB7ED7"/>
    <w:rsid w:val="00BC266D"/>
    <w:rsid w:val="00BC3FB6"/>
    <w:rsid w:val="00BC46E9"/>
    <w:rsid w:val="00BC5584"/>
    <w:rsid w:val="00BD0370"/>
    <w:rsid w:val="00BD1D10"/>
    <w:rsid w:val="00BD5227"/>
    <w:rsid w:val="00BD743A"/>
    <w:rsid w:val="00BE0ECB"/>
    <w:rsid w:val="00BE3129"/>
    <w:rsid w:val="00BE324E"/>
    <w:rsid w:val="00BF1E41"/>
    <w:rsid w:val="00BF3AB5"/>
    <w:rsid w:val="00BF4584"/>
    <w:rsid w:val="00BF4EEF"/>
    <w:rsid w:val="00BF562B"/>
    <w:rsid w:val="00BF7ABD"/>
    <w:rsid w:val="00BF7B7B"/>
    <w:rsid w:val="00C07D28"/>
    <w:rsid w:val="00C127FD"/>
    <w:rsid w:val="00C1396C"/>
    <w:rsid w:val="00C25DF4"/>
    <w:rsid w:val="00C273C4"/>
    <w:rsid w:val="00C27A08"/>
    <w:rsid w:val="00C31783"/>
    <w:rsid w:val="00C35788"/>
    <w:rsid w:val="00C40327"/>
    <w:rsid w:val="00C40E48"/>
    <w:rsid w:val="00C44480"/>
    <w:rsid w:val="00C477F6"/>
    <w:rsid w:val="00C5095F"/>
    <w:rsid w:val="00C5284B"/>
    <w:rsid w:val="00C5573C"/>
    <w:rsid w:val="00C61F52"/>
    <w:rsid w:val="00C62B2E"/>
    <w:rsid w:val="00C62E00"/>
    <w:rsid w:val="00C6346C"/>
    <w:rsid w:val="00C63E11"/>
    <w:rsid w:val="00C7186D"/>
    <w:rsid w:val="00C77340"/>
    <w:rsid w:val="00C7749D"/>
    <w:rsid w:val="00C8160D"/>
    <w:rsid w:val="00C8195B"/>
    <w:rsid w:val="00C82163"/>
    <w:rsid w:val="00C82C3D"/>
    <w:rsid w:val="00C82D2B"/>
    <w:rsid w:val="00C86409"/>
    <w:rsid w:val="00C93278"/>
    <w:rsid w:val="00C947F9"/>
    <w:rsid w:val="00C95AF4"/>
    <w:rsid w:val="00C967B3"/>
    <w:rsid w:val="00C9690D"/>
    <w:rsid w:val="00C96A51"/>
    <w:rsid w:val="00CA0D58"/>
    <w:rsid w:val="00CA12E9"/>
    <w:rsid w:val="00CA2073"/>
    <w:rsid w:val="00CA3505"/>
    <w:rsid w:val="00CA362D"/>
    <w:rsid w:val="00CA58FD"/>
    <w:rsid w:val="00CA5E2C"/>
    <w:rsid w:val="00CA6C6D"/>
    <w:rsid w:val="00CB067F"/>
    <w:rsid w:val="00CB1E0E"/>
    <w:rsid w:val="00CB2749"/>
    <w:rsid w:val="00CB29C8"/>
    <w:rsid w:val="00CB52F5"/>
    <w:rsid w:val="00CB76D5"/>
    <w:rsid w:val="00CC0C3E"/>
    <w:rsid w:val="00CC17FE"/>
    <w:rsid w:val="00CC4323"/>
    <w:rsid w:val="00CC49C7"/>
    <w:rsid w:val="00CC5A56"/>
    <w:rsid w:val="00CD51F1"/>
    <w:rsid w:val="00CD5424"/>
    <w:rsid w:val="00CD712B"/>
    <w:rsid w:val="00CD7C26"/>
    <w:rsid w:val="00CE0536"/>
    <w:rsid w:val="00CE3AEB"/>
    <w:rsid w:val="00CE4CDC"/>
    <w:rsid w:val="00CE684F"/>
    <w:rsid w:val="00CF22D5"/>
    <w:rsid w:val="00CF434F"/>
    <w:rsid w:val="00CF5418"/>
    <w:rsid w:val="00CF5B5D"/>
    <w:rsid w:val="00CF65EA"/>
    <w:rsid w:val="00CF7C1D"/>
    <w:rsid w:val="00D003A2"/>
    <w:rsid w:val="00D00E2F"/>
    <w:rsid w:val="00D01BCE"/>
    <w:rsid w:val="00D02C9F"/>
    <w:rsid w:val="00D02FB4"/>
    <w:rsid w:val="00D031EF"/>
    <w:rsid w:val="00D051B5"/>
    <w:rsid w:val="00D07DE1"/>
    <w:rsid w:val="00D103AE"/>
    <w:rsid w:val="00D106F1"/>
    <w:rsid w:val="00D15C82"/>
    <w:rsid w:val="00D17692"/>
    <w:rsid w:val="00D209A7"/>
    <w:rsid w:val="00D20EE6"/>
    <w:rsid w:val="00D2102C"/>
    <w:rsid w:val="00D249C4"/>
    <w:rsid w:val="00D25880"/>
    <w:rsid w:val="00D34636"/>
    <w:rsid w:val="00D359F3"/>
    <w:rsid w:val="00D35D7B"/>
    <w:rsid w:val="00D37343"/>
    <w:rsid w:val="00D40771"/>
    <w:rsid w:val="00D41F83"/>
    <w:rsid w:val="00D440C7"/>
    <w:rsid w:val="00D454B6"/>
    <w:rsid w:val="00D467C9"/>
    <w:rsid w:val="00D50D29"/>
    <w:rsid w:val="00D5231F"/>
    <w:rsid w:val="00D5384A"/>
    <w:rsid w:val="00D55F41"/>
    <w:rsid w:val="00D57677"/>
    <w:rsid w:val="00D600B4"/>
    <w:rsid w:val="00D603E6"/>
    <w:rsid w:val="00D61234"/>
    <w:rsid w:val="00D64083"/>
    <w:rsid w:val="00D657CC"/>
    <w:rsid w:val="00D65CC9"/>
    <w:rsid w:val="00D70559"/>
    <w:rsid w:val="00D7117B"/>
    <w:rsid w:val="00D717BD"/>
    <w:rsid w:val="00D7399F"/>
    <w:rsid w:val="00D7605F"/>
    <w:rsid w:val="00D826CC"/>
    <w:rsid w:val="00D8281A"/>
    <w:rsid w:val="00D82DE6"/>
    <w:rsid w:val="00D85A37"/>
    <w:rsid w:val="00D86FE3"/>
    <w:rsid w:val="00D870B5"/>
    <w:rsid w:val="00D87AC9"/>
    <w:rsid w:val="00D91BB8"/>
    <w:rsid w:val="00D942BC"/>
    <w:rsid w:val="00DA0B4F"/>
    <w:rsid w:val="00DA150E"/>
    <w:rsid w:val="00DA2ECB"/>
    <w:rsid w:val="00DA5CF2"/>
    <w:rsid w:val="00DB2EA0"/>
    <w:rsid w:val="00DB3E09"/>
    <w:rsid w:val="00DB48A4"/>
    <w:rsid w:val="00DB506F"/>
    <w:rsid w:val="00DB7204"/>
    <w:rsid w:val="00DC2106"/>
    <w:rsid w:val="00DC406B"/>
    <w:rsid w:val="00DC6716"/>
    <w:rsid w:val="00DD1879"/>
    <w:rsid w:val="00DD4E67"/>
    <w:rsid w:val="00DD51C2"/>
    <w:rsid w:val="00DD594D"/>
    <w:rsid w:val="00DE53CB"/>
    <w:rsid w:val="00DE566E"/>
    <w:rsid w:val="00DE5AE5"/>
    <w:rsid w:val="00DE6383"/>
    <w:rsid w:val="00DE78E9"/>
    <w:rsid w:val="00DF0A8F"/>
    <w:rsid w:val="00DF21C6"/>
    <w:rsid w:val="00DF3599"/>
    <w:rsid w:val="00DF3A80"/>
    <w:rsid w:val="00DF46FF"/>
    <w:rsid w:val="00DF47AD"/>
    <w:rsid w:val="00DF5073"/>
    <w:rsid w:val="00DF63CD"/>
    <w:rsid w:val="00DF7C10"/>
    <w:rsid w:val="00DF7F0F"/>
    <w:rsid w:val="00E00441"/>
    <w:rsid w:val="00E00555"/>
    <w:rsid w:val="00E00C23"/>
    <w:rsid w:val="00E04024"/>
    <w:rsid w:val="00E05026"/>
    <w:rsid w:val="00E0647A"/>
    <w:rsid w:val="00E078ED"/>
    <w:rsid w:val="00E120E2"/>
    <w:rsid w:val="00E14903"/>
    <w:rsid w:val="00E177F5"/>
    <w:rsid w:val="00E20ED5"/>
    <w:rsid w:val="00E2169B"/>
    <w:rsid w:val="00E22A3F"/>
    <w:rsid w:val="00E24133"/>
    <w:rsid w:val="00E251E6"/>
    <w:rsid w:val="00E27707"/>
    <w:rsid w:val="00E3380D"/>
    <w:rsid w:val="00E37E27"/>
    <w:rsid w:val="00E406C0"/>
    <w:rsid w:val="00E41E70"/>
    <w:rsid w:val="00E459C8"/>
    <w:rsid w:val="00E46A16"/>
    <w:rsid w:val="00E529E0"/>
    <w:rsid w:val="00E5335E"/>
    <w:rsid w:val="00E53DD3"/>
    <w:rsid w:val="00E54881"/>
    <w:rsid w:val="00E5527F"/>
    <w:rsid w:val="00E56750"/>
    <w:rsid w:val="00E568E3"/>
    <w:rsid w:val="00E56B52"/>
    <w:rsid w:val="00E576D7"/>
    <w:rsid w:val="00E63AA3"/>
    <w:rsid w:val="00E65C6F"/>
    <w:rsid w:val="00E65DCE"/>
    <w:rsid w:val="00E663C3"/>
    <w:rsid w:val="00E6728D"/>
    <w:rsid w:val="00E71AFB"/>
    <w:rsid w:val="00E72994"/>
    <w:rsid w:val="00E72DCC"/>
    <w:rsid w:val="00E748A0"/>
    <w:rsid w:val="00E74CE0"/>
    <w:rsid w:val="00E75798"/>
    <w:rsid w:val="00E77D0A"/>
    <w:rsid w:val="00E80A07"/>
    <w:rsid w:val="00E81056"/>
    <w:rsid w:val="00E8105E"/>
    <w:rsid w:val="00E83884"/>
    <w:rsid w:val="00E90E38"/>
    <w:rsid w:val="00E92A31"/>
    <w:rsid w:val="00E94D57"/>
    <w:rsid w:val="00E95FE0"/>
    <w:rsid w:val="00E96715"/>
    <w:rsid w:val="00EA04E0"/>
    <w:rsid w:val="00EA0EF2"/>
    <w:rsid w:val="00EA32D2"/>
    <w:rsid w:val="00EA353E"/>
    <w:rsid w:val="00EA3ECF"/>
    <w:rsid w:val="00EA5994"/>
    <w:rsid w:val="00EA74ED"/>
    <w:rsid w:val="00EA7E51"/>
    <w:rsid w:val="00EB0C0E"/>
    <w:rsid w:val="00EB547F"/>
    <w:rsid w:val="00EB73AF"/>
    <w:rsid w:val="00EC0DEB"/>
    <w:rsid w:val="00EC19D4"/>
    <w:rsid w:val="00EC1F81"/>
    <w:rsid w:val="00EC3FEC"/>
    <w:rsid w:val="00EC4400"/>
    <w:rsid w:val="00EC518B"/>
    <w:rsid w:val="00ED69BC"/>
    <w:rsid w:val="00ED7C76"/>
    <w:rsid w:val="00EE35E9"/>
    <w:rsid w:val="00EE377D"/>
    <w:rsid w:val="00EE75B0"/>
    <w:rsid w:val="00EE7DEA"/>
    <w:rsid w:val="00EF10B6"/>
    <w:rsid w:val="00EF233A"/>
    <w:rsid w:val="00EF2C42"/>
    <w:rsid w:val="00F002E4"/>
    <w:rsid w:val="00F037C9"/>
    <w:rsid w:val="00F04D84"/>
    <w:rsid w:val="00F05D48"/>
    <w:rsid w:val="00F1652D"/>
    <w:rsid w:val="00F20D88"/>
    <w:rsid w:val="00F26597"/>
    <w:rsid w:val="00F31993"/>
    <w:rsid w:val="00F32481"/>
    <w:rsid w:val="00F33D4A"/>
    <w:rsid w:val="00F34379"/>
    <w:rsid w:val="00F348FB"/>
    <w:rsid w:val="00F36CA3"/>
    <w:rsid w:val="00F37C38"/>
    <w:rsid w:val="00F42482"/>
    <w:rsid w:val="00F431FD"/>
    <w:rsid w:val="00F46146"/>
    <w:rsid w:val="00F46E96"/>
    <w:rsid w:val="00F51CA5"/>
    <w:rsid w:val="00F51D76"/>
    <w:rsid w:val="00F5382C"/>
    <w:rsid w:val="00F54455"/>
    <w:rsid w:val="00F546D1"/>
    <w:rsid w:val="00F57810"/>
    <w:rsid w:val="00F60818"/>
    <w:rsid w:val="00F60B14"/>
    <w:rsid w:val="00F628F3"/>
    <w:rsid w:val="00F63940"/>
    <w:rsid w:val="00F641E2"/>
    <w:rsid w:val="00F6712A"/>
    <w:rsid w:val="00F7344D"/>
    <w:rsid w:val="00F800DB"/>
    <w:rsid w:val="00F81012"/>
    <w:rsid w:val="00F8330E"/>
    <w:rsid w:val="00F83501"/>
    <w:rsid w:val="00F859E7"/>
    <w:rsid w:val="00F864C8"/>
    <w:rsid w:val="00F866A2"/>
    <w:rsid w:val="00F86783"/>
    <w:rsid w:val="00F86C65"/>
    <w:rsid w:val="00F8799F"/>
    <w:rsid w:val="00F905AE"/>
    <w:rsid w:val="00F93295"/>
    <w:rsid w:val="00FA0E95"/>
    <w:rsid w:val="00FA2FF8"/>
    <w:rsid w:val="00FA30D7"/>
    <w:rsid w:val="00FA4DAE"/>
    <w:rsid w:val="00FA5730"/>
    <w:rsid w:val="00FB0366"/>
    <w:rsid w:val="00FB04F1"/>
    <w:rsid w:val="00FB0565"/>
    <w:rsid w:val="00FB7797"/>
    <w:rsid w:val="00FB7ABB"/>
    <w:rsid w:val="00FC0E51"/>
    <w:rsid w:val="00FC25D0"/>
    <w:rsid w:val="00FC2B0C"/>
    <w:rsid w:val="00FC42C0"/>
    <w:rsid w:val="00FC57DD"/>
    <w:rsid w:val="00FC645E"/>
    <w:rsid w:val="00FC6495"/>
    <w:rsid w:val="00FD1F71"/>
    <w:rsid w:val="00FD238A"/>
    <w:rsid w:val="00FD34BF"/>
    <w:rsid w:val="00FE72DF"/>
    <w:rsid w:val="00FE7F9E"/>
    <w:rsid w:val="00FF083B"/>
    <w:rsid w:val="0327EE70"/>
    <w:rsid w:val="07F76126"/>
    <w:rsid w:val="2AD8D8AA"/>
    <w:rsid w:val="5084E109"/>
    <w:rsid w:val="661784F2"/>
    <w:rsid w:val="672BCE9E"/>
    <w:rsid w:val="6D51ACD6"/>
    <w:rsid w:val="76DF62A2"/>
    <w:rsid w:val="78F08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25B1636"/>
  <w15:chartTrackingRefBased/>
  <w15:docId w15:val="{35E252E2-2881-460B-A66F-CFF3DE20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AFE"/>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03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49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character" w:customStyle="1" w:styleId="Heading3Char">
    <w:name w:val="Heading 3 Char"/>
    <w:basedOn w:val="DefaultParagraphFont"/>
    <w:link w:val="Heading3"/>
    <w:uiPriority w:val="9"/>
    <w:rsid w:val="004F302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A286E"/>
    <w:pPr>
      <w:spacing w:after="200" w:line="276" w:lineRule="auto"/>
    </w:pPr>
    <w:rPr>
      <w:rFonts w:ascii="Arial" w:hAnsi="Arial"/>
      <w:color w:val="3C3C3C"/>
      <w:sz w:val="24"/>
    </w:rPr>
  </w:style>
  <w:style w:type="character" w:customStyle="1" w:styleId="BodyTextChar">
    <w:name w:val="Body Text Char"/>
    <w:basedOn w:val="DefaultParagraphFont"/>
    <w:link w:val="BodyText"/>
    <w:uiPriority w:val="99"/>
    <w:rsid w:val="002A286E"/>
    <w:rPr>
      <w:rFonts w:ascii="Arial" w:hAnsi="Arial"/>
      <w:color w:val="3C3C3C"/>
      <w:sz w:val="24"/>
    </w:rPr>
  </w:style>
  <w:style w:type="character" w:customStyle="1" w:styleId="Heading4Char">
    <w:name w:val="Heading 4 Char"/>
    <w:basedOn w:val="DefaultParagraphFont"/>
    <w:link w:val="Heading4"/>
    <w:uiPriority w:val="9"/>
    <w:rsid w:val="00D103AE"/>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425E11"/>
    <w:rPr>
      <w:color w:val="808080"/>
      <w:shd w:val="clear" w:color="auto" w:fill="E6E6E6"/>
    </w:rPr>
  </w:style>
  <w:style w:type="table" w:styleId="ListTable3-Accent1">
    <w:name w:val="List Table 3 Accent 1"/>
    <w:basedOn w:val="TableNormal"/>
    <w:uiPriority w:val="48"/>
    <w:rsid w:val="003E6DF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8915F0"/>
    <w:rPr>
      <w:sz w:val="16"/>
      <w:szCs w:val="16"/>
    </w:rPr>
  </w:style>
  <w:style w:type="paragraph" w:styleId="CommentText">
    <w:name w:val="annotation text"/>
    <w:basedOn w:val="Normal"/>
    <w:link w:val="CommentTextChar"/>
    <w:uiPriority w:val="99"/>
    <w:semiHidden/>
    <w:unhideWhenUsed/>
    <w:rsid w:val="008915F0"/>
    <w:pPr>
      <w:spacing w:line="240" w:lineRule="auto"/>
    </w:pPr>
    <w:rPr>
      <w:sz w:val="20"/>
      <w:szCs w:val="20"/>
    </w:rPr>
  </w:style>
  <w:style w:type="character" w:customStyle="1" w:styleId="CommentTextChar">
    <w:name w:val="Comment Text Char"/>
    <w:basedOn w:val="DefaultParagraphFont"/>
    <w:link w:val="CommentText"/>
    <w:uiPriority w:val="99"/>
    <w:semiHidden/>
    <w:rsid w:val="008915F0"/>
    <w:rPr>
      <w:sz w:val="20"/>
      <w:szCs w:val="20"/>
    </w:rPr>
  </w:style>
  <w:style w:type="paragraph" w:styleId="CommentSubject">
    <w:name w:val="annotation subject"/>
    <w:basedOn w:val="CommentText"/>
    <w:next w:val="CommentText"/>
    <w:link w:val="CommentSubjectChar"/>
    <w:uiPriority w:val="99"/>
    <w:semiHidden/>
    <w:unhideWhenUsed/>
    <w:rsid w:val="008915F0"/>
    <w:rPr>
      <w:b/>
      <w:bCs/>
    </w:rPr>
  </w:style>
  <w:style w:type="character" w:customStyle="1" w:styleId="CommentSubjectChar">
    <w:name w:val="Comment Subject Char"/>
    <w:basedOn w:val="CommentTextChar"/>
    <w:link w:val="CommentSubject"/>
    <w:uiPriority w:val="99"/>
    <w:semiHidden/>
    <w:rsid w:val="008915F0"/>
    <w:rPr>
      <w:b/>
      <w:bCs/>
      <w:sz w:val="20"/>
      <w:szCs w:val="20"/>
    </w:rPr>
  </w:style>
  <w:style w:type="paragraph" w:styleId="BalloonText">
    <w:name w:val="Balloon Text"/>
    <w:basedOn w:val="Normal"/>
    <w:link w:val="BalloonTextChar"/>
    <w:uiPriority w:val="99"/>
    <w:semiHidden/>
    <w:unhideWhenUsed/>
    <w:rsid w:val="00891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F0"/>
    <w:rPr>
      <w:rFonts w:ascii="Segoe UI" w:hAnsi="Segoe UI" w:cs="Segoe UI"/>
      <w:sz w:val="18"/>
      <w:szCs w:val="18"/>
    </w:rPr>
  </w:style>
  <w:style w:type="character" w:customStyle="1" w:styleId="Heading5Char">
    <w:name w:val="Heading 5 Char"/>
    <w:basedOn w:val="DefaultParagraphFont"/>
    <w:link w:val="Heading5"/>
    <w:uiPriority w:val="9"/>
    <w:rsid w:val="00944915"/>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944915"/>
    <w:pPr>
      <w:outlineLvl w:val="9"/>
    </w:pPr>
    <w:rPr>
      <w:lang w:val="en-US"/>
    </w:rPr>
  </w:style>
  <w:style w:type="paragraph" w:styleId="TOC1">
    <w:name w:val="toc 1"/>
    <w:basedOn w:val="Normal"/>
    <w:next w:val="Normal"/>
    <w:autoRedefine/>
    <w:uiPriority w:val="39"/>
    <w:unhideWhenUsed/>
    <w:rsid w:val="00944915"/>
    <w:pPr>
      <w:spacing w:after="100"/>
    </w:pPr>
  </w:style>
  <w:style w:type="paragraph" w:styleId="TOC2">
    <w:name w:val="toc 2"/>
    <w:basedOn w:val="Normal"/>
    <w:next w:val="Normal"/>
    <w:autoRedefine/>
    <w:uiPriority w:val="39"/>
    <w:unhideWhenUsed/>
    <w:rsid w:val="00944915"/>
    <w:pPr>
      <w:spacing w:after="100"/>
      <w:ind w:left="220"/>
    </w:pPr>
  </w:style>
  <w:style w:type="paragraph" w:styleId="TOC3">
    <w:name w:val="toc 3"/>
    <w:basedOn w:val="Normal"/>
    <w:next w:val="Normal"/>
    <w:autoRedefine/>
    <w:uiPriority w:val="39"/>
    <w:unhideWhenUsed/>
    <w:rsid w:val="00944915"/>
    <w:pPr>
      <w:spacing w:after="100"/>
      <w:ind w:left="440"/>
    </w:pPr>
  </w:style>
  <w:style w:type="table" w:customStyle="1" w:styleId="DLGCTable-Form1">
    <w:name w:val="DLGC Table - Form1"/>
    <w:basedOn w:val="TableNormal"/>
    <w:next w:val="TableGrid"/>
    <w:uiPriority w:val="39"/>
    <w:rsid w:val="0057702B"/>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Form2">
    <w:name w:val="DLGC Table - Form2"/>
    <w:basedOn w:val="TableNormal"/>
    <w:next w:val="TableGrid"/>
    <w:uiPriority w:val="39"/>
    <w:rsid w:val="006D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73A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496">
      <w:bodyDiv w:val="1"/>
      <w:marLeft w:val="0"/>
      <w:marRight w:val="0"/>
      <w:marTop w:val="0"/>
      <w:marBottom w:val="0"/>
      <w:divBdr>
        <w:top w:val="none" w:sz="0" w:space="0" w:color="auto"/>
        <w:left w:val="none" w:sz="0" w:space="0" w:color="auto"/>
        <w:bottom w:val="none" w:sz="0" w:space="0" w:color="auto"/>
        <w:right w:val="none" w:sz="0" w:space="0" w:color="auto"/>
      </w:divBdr>
    </w:div>
    <w:div w:id="376659054">
      <w:bodyDiv w:val="1"/>
      <w:marLeft w:val="0"/>
      <w:marRight w:val="0"/>
      <w:marTop w:val="0"/>
      <w:marBottom w:val="0"/>
      <w:divBdr>
        <w:top w:val="none" w:sz="0" w:space="0" w:color="auto"/>
        <w:left w:val="none" w:sz="0" w:space="0" w:color="auto"/>
        <w:bottom w:val="none" w:sz="0" w:space="0" w:color="auto"/>
        <w:right w:val="none" w:sz="0" w:space="0" w:color="auto"/>
      </w:divBdr>
    </w:div>
    <w:div w:id="458303057">
      <w:bodyDiv w:val="1"/>
      <w:marLeft w:val="0"/>
      <w:marRight w:val="0"/>
      <w:marTop w:val="0"/>
      <w:marBottom w:val="0"/>
      <w:divBdr>
        <w:top w:val="none" w:sz="0" w:space="0" w:color="auto"/>
        <w:left w:val="none" w:sz="0" w:space="0" w:color="auto"/>
        <w:bottom w:val="none" w:sz="0" w:space="0" w:color="auto"/>
        <w:right w:val="none" w:sz="0" w:space="0" w:color="auto"/>
      </w:divBdr>
    </w:div>
    <w:div w:id="893663677">
      <w:bodyDiv w:val="1"/>
      <w:marLeft w:val="0"/>
      <w:marRight w:val="0"/>
      <w:marTop w:val="0"/>
      <w:marBottom w:val="0"/>
      <w:divBdr>
        <w:top w:val="none" w:sz="0" w:space="0" w:color="auto"/>
        <w:left w:val="none" w:sz="0" w:space="0" w:color="auto"/>
        <w:bottom w:val="none" w:sz="0" w:space="0" w:color="auto"/>
        <w:right w:val="none" w:sz="0" w:space="0" w:color="auto"/>
      </w:divBdr>
    </w:div>
    <w:div w:id="951087546">
      <w:bodyDiv w:val="1"/>
      <w:marLeft w:val="0"/>
      <w:marRight w:val="0"/>
      <w:marTop w:val="0"/>
      <w:marBottom w:val="0"/>
      <w:divBdr>
        <w:top w:val="none" w:sz="0" w:space="0" w:color="auto"/>
        <w:left w:val="none" w:sz="0" w:space="0" w:color="auto"/>
        <w:bottom w:val="none" w:sz="0" w:space="0" w:color="auto"/>
        <w:right w:val="none" w:sz="0" w:space="0" w:color="auto"/>
      </w:divBdr>
    </w:div>
    <w:div w:id="973408353">
      <w:bodyDiv w:val="1"/>
      <w:marLeft w:val="0"/>
      <w:marRight w:val="0"/>
      <w:marTop w:val="0"/>
      <w:marBottom w:val="0"/>
      <w:divBdr>
        <w:top w:val="none" w:sz="0" w:space="0" w:color="auto"/>
        <w:left w:val="none" w:sz="0" w:space="0" w:color="auto"/>
        <w:bottom w:val="none" w:sz="0" w:space="0" w:color="auto"/>
        <w:right w:val="none" w:sz="0" w:space="0" w:color="auto"/>
      </w:divBdr>
    </w:div>
    <w:div w:id="1196575395">
      <w:bodyDiv w:val="1"/>
      <w:marLeft w:val="0"/>
      <w:marRight w:val="0"/>
      <w:marTop w:val="0"/>
      <w:marBottom w:val="0"/>
      <w:divBdr>
        <w:top w:val="none" w:sz="0" w:space="0" w:color="auto"/>
        <w:left w:val="none" w:sz="0" w:space="0" w:color="auto"/>
        <w:bottom w:val="none" w:sz="0" w:space="0" w:color="auto"/>
        <w:right w:val="none" w:sz="0" w:space="0" w:color="auto"/>
      </w:divBdr>
    </w:div>
    <w:div w:id="1202473398">
      <w:bodyDiv w:val="1"/>
      <w:marLeft w:val="0"/>
      <w:marRight w:val="0"/>
      <w:marTop w:val="0"/>
      <w:marBottom w:val="0"/>
      <w:divBdr>
        <w:top w:val="none" w:sz="0" w:space="0" w:color="auto"/>
        <w:left w:val="none" w:sz="0" w:space="0" w:color="auto"/>
        <w:bottom w:val="none" w:sz="0" w:space="0" w:color="auto"/>
        <w:right w:val="none" w:sz="0" w:space="0" w:color="auto"/>
      </w:divBdr>
    </w:div>
    <w:div w:id="1246376357">
      <w:bodyDiv w:val="1"/>
      <w:marLeft w:val="0"/>
      <w:marRight w:val="0"/>
      <w:marTop w:val="0"/>
      <w:marBottom w:val="0"/>
      <w:divBdr>
        <w:top w:val="none" w:sz="0" w:space="0" w:color="auto"/>
        <w:left w:val="none" w:sz="0" w:space="0" w:color="auto"/>
        <w:bottom w:val="none" w:sz="0" w:space="0" w:color="auto"/>
        <w:right w:val="none" w:sz="0" w:space="0" w:color="auto"/>
      </w:divBdr>
    </w:div>
    <w:div w:id="1675451349">
      <w:bodyDiv w:val="1"/>
      <w:marLeft w:val="0"/>
      <w:marRight w:val="0"/>
      <w:marTop w:val="0"/>
      <w:marBottom w:val="0"/>
      <w:divBdr>
        <w:top w:val="none" w:sz="0" w:space="0" w:color="auto"/>
        <w:left w:val="none" w:sz="0" w:space="0" w:color="auto"/>
        <w:bottom w:val="none" w:sz="0" w:space="0" w:color="auto"/>
        <w:right w:val="none" w:sz="0" w:space="0" w:color="auto"/>
      </w:divBdr>
    </w:div>
    <w:div w:id="1699088204">
      <w:bodyDiv w:val="1"/>
      <w:marLeft w:val="0"/>
      <w:marRight w:val="0"/>
      <w:marTop w:val="0"/>
      <w:marBottom w:val="0"/>
      <w:divBdr>
        <w:top w:val="none" w:sz="0" w:space="0" w:color="auto"/>
        <w:left w:val="none" w:sz="0" w:space="0" w:color="auto"/>
        <w:bottom w:val="none" w:sz="0" w:space="0" w:color="auto"/>
        <w:right w:val="none" w:sz="0" w:space="0" w:color="auto"/>
      </w:divBdr>
    </w:div>
    <w:div w:id="1753358250">
      <w:bodyDiv w:val="1"/>
      <w:marLeft w:val="0"/>
      <w:marRight w:val="0"/>
      <w:marTop w:val="0"/>
      <w:marBottom w:val="0"/>
      <w:divBdr>
        <w:top w:val="none" w:sz="0" w:space="0" w:color="auto"/>
        <w:left w:val="none" w:sz="0" w:space="0" w:color="auto"/>
        <w:bottom w:val="none" w:sz="0" w:space="0" w:color="auto"/>
        <w:right w:val="none" w:sz="0" w:space="0" w:color="auto"/>
      </w:divBdr>
    </w:div>
    <w:div w:id="1946960976">
      <w:bodyDiv w:val="1"/>
      <w:marLeft w:val="0"/>
      <w:marRight w:val="0"/>
      <w:marTop w:val="0"/>
      <w:marBottom w:val="0"/>
      <w:divBdr>
        <w:top w:val="none" w:sz="0" w:space="0" w:color="auto"/>
        <w:left w:val="none" w:sz="0" w:space="0" w:color="auto"/>
        <w:bottom w:val="none" w:sz="0" w:space="0" w:color="auto"/>
        <w:right w:val="none" w:sz="0" w:space="0" w:color="auto"/>
      </w:divBdr>
    </w:div>
    <w:div w:id="1947884132">
      <w:bodyDiv w:val="1"/>
      <w:marLeft w:val="0"/>
      <w:marRight w:val="0"/>
      <w:marTop w:val="0"/>
      <w:marBottom w:val="0"/>
      <w:divBdr>
        <w:top w:val="none" w:sz="0" w:space="0" w:color="auto"/>
        <w:left w:val="none" w:sz="0" w:space="0" w:color="auto"/>
        <w:bottom w:val="none" w:sz="0" w:space="0" w:color="auto"/>
        <w:right w:val="none" w:sz="0" w:space="0" w:color="auto"/>
      </w:divBdr>
    </w:div>
    <w:div w:id="20793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review@dlgsc.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dlgsc.wa.gov.au/LGA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5" Type="http://schemas.openxmlformats.org/officeDocument/2006/relationships/numbering" Target="numbering.xml"/><Relationship Id="rId15" Type="http://schemas.openxmlformats.org/officeDocument/2006/relationships/hyperlink" Target="mailto:actreview@dlgsc.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ernment.vic.gov.au/__data/assets/pdf_file/0020/48260/LG-Revenue-and-Rating-Strateg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731F3"/>
    <w:rsid w:val="00673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8A264-0992-484A-8AEE-866B642F26DD}"/>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E4A136DB-D38A-4503-8BD5-08385729FCF5}"/>
</file>

<file path=customXml/itemProps4.xml><?xml version="1.0" encoding="utf-8"?>
<ds:datastoreItem xmlns:ds="http://schemas.openxmlformats.org/officeDocument/2006/customXml" ds:itemID="{F7C25176-DBF8-4012-AA4E-DFF26D4EE340}"/>
</file>

<file path=docProps/app.xml><?xml version="1.0" encoding="utf-8"?>
<Properties xmlns="http://schemas.openxmlformats.org/officeDocument/2006/extended-properties" xmlns:vt="http://schemas.openxmlformats.org/officeDocument/2006/docPropsVTypes">
  <Template>Normal</Template>
  <TotalTime>1</TotalTime>
  <Pages>19</Pages>
  <Words>5006</Words>
  <Characters>28537</Characters>
  <Application>Microsoft Office Word</Application>
  <DocSecurity>0</DocSecurity>
  <Lines>237</Lines>
  <Paragraphs>66</Paragraphs>
  <ScaleCrop>false</ScaleCrop>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fees and charges discussion paper</dc:title>
  <dc:subject/>
  <dc:creator>Ken Parker</dc:creator>
  <cp:keywords/>
  <cp:lastModifiedBy>Kirsty Martin</cp:lastModifiedBy>
  <cp:revision>140</cp:revision>
  <cp:lastPrinted>2018-09-10T01:14:00Z</cp:lastPrinted>
  <dcterms:created xsi:type="dcterms:W3CDTF">2018-08-27T03:22:00Z</dcterms:created>
  <dcterms:modified xsi:type="dcterms:W3CDTF">2018-09-18T05:52:00Z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